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default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bookmarkStart w:id="0" w:name="SectionMark1"/>
      <w:bookmarkStart w:id="1" w:name="SectionMark0"/>
      <w:bookmarkStart w:id="2" w:name="_Toc236563111"/>
      <w:bookmarkStart w:id="3" w:name="_Toc236566520"/>
      <w:bookmarkStart w:id="4" w:name="_Toc236566467"/>
      <w:r>
        <w:rPr>
          <w:color w:val="auto"/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4142105</wp:posOffset>
                </wp:positionH>
                <wp:positionV relativeFrom="paragraph">
                  <wp:posOffset>-168275</wp:posOffset>
                </wp:positionV>
                <wp:extent cx="1647825" cy="1155065"/>
                <wp:effectExtent l="0" t="0" r="0" b="0"/>
                <wp:wrapNone/>
                <wp:docPr id="9" name="文本框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115506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jc w:val="distribute"/>
                              <w:textAlignment w:val="auto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128"/>
                                <w:szCs w:val="128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60" o:spid="_x0000_s1026" o:spt="202" type="#_x0000_t202" style="position:absolute;left:0pt;margin-left:326.15pt;margin-top:-13.25pt;height:90.95pt;width:129.75pt;z-index:251667456;mso-width-relative:page;mso-height-relative:page;" filled="f" stroked="f" coordsize="21600,21600" o:gfxdata="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sLfPzZAAAACwEAAA8AAAAAAAAAAQAg&#10;AAAAIgAAAGRycy9kb3ducmV2LnhtbFBLAQIUABQAAAAIAIdO4kDH2/ig1AEAAI0DAAAOAAAAAAAA&#10;AAEAIAAAACgBAABkcnMvZTJvRG9jLnhtbFBLBQYAAAAABgAGAFkBAABuBQAAAAA=&#10;">
                <v:fill on="f" focussize="0,0"/>
                <v:stroke on="f" weight="0.2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jc w:val="distribute"/>
                        <w:textAlignment w:val="auto"/>
                        <w:rPr>
                          <w:rFonts w:hint="default" w:ascii="Times New Roman" w:hAnsi="Times New Roman" w:cs="Times New Roman"/>
                          <w:b/>
                          <w:bCs/>
                          <w:sz w:val="128"/>
                          <w:szCs w:val="1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ICS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黑体"/>
          <w:color w:val="auto"/>
          <w:sz w:val="21"/>
          <w:highlight w:val="none"/>
        </w:rPr>
        <w:t>71.100.70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 xml:space="preserve">                                                   </w:t>
      </w:r>
    </w:p>
    <w:p>
      <w:pPr>
        <w:pStyle w:val="1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default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margin">
                  <wp:posOffset>24765</wp:posOffset>
                </wp:positionH>
                <wp:positionV relativeFrom="margin">
                  <wp:posOffset>9422765</wp:posOffset>
                </wp:positionV>
                <wp:extent cx="6120130" cy="312420"/>
                <wp:effectExtent l="0" t="0" r="13970" b="11430"/>
                <wp:wrapNone/>
                <wp:docPr id="8" name="fm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50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textAlignment w:val="auto"/>
                              <w:rPr>
                                <w:rFonts w:hint="eastAsia" w:ascii="宋体" w:hAnsi="宋体" w:eastAsia="宋体" w:cs="宋体"/>
                                <w:b w:val="0"/>
                                <w:bCs/>
                                <w:color w:val="au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  <w:instrText xml:space="preserve"> FORMTEXT </w:instrTex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  <w:t>中国香料香精化妆品工业协会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  <w:fldChar w:fldCharType="end"/>
                            </w:r>
                            <w:r>
                              <w:rPr>
                                <w:rStyle w:val="149"/>
                                <w:rFonts w:hint="eastAsia" w:ascii="宋体" w:hAnsi="宋体" w:eastAsia="宋体" w:cs="宋体"/>
                                <w:b w:val="0"/>
                                <w:bCs/>
                                <w:color w:val="auto"/>
                                <w:spacing w:val="100"/>
                                <w:sz w:val="28"/>
                                <w:szCs w:val="28"/>
                              </w:rPr>
                              <w:t xml:space="preserve"> 发</w:t>
                            </w:r>
                            <w:r>
                              <w:rPr>
                                <w:rStyle w:val="149"/>
                                <w:rFonts w:hint="eastAsia" w:ascii="宋体" w:hAnsi="宋体" w:eastAsia="宋体" w:cs="宋体"/>
                                <w:b w:val="0"/>
                                <w:bCs/>
                                <w:color w:val="auto"/>
                                <w:spacing w:val="50"/>
                                <w:sz w:val="28"/>
                                <w:szCs w:val="28"/>
                              </w:rPr>
                              <w:t>布</w:t>
                            </w:r>
                          </w:p>
                        </w:txbxContent>
                      </wps:txbx>
                      <wps:bodyPr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fmFrame7" o:spid="_x0000_s1026" o:spt="202" type="#_x0000_t202" style="position:absolute;left:0pt;margin-left:1.95pt;margin-top:741.95pt;height:24.6pt;width:481.9pt;mso-position-horizontal-relative:margin;mso-position-vertical-relative:margin;z-index:251666432;mso-width-relative:page;mso-height-relative:page;" fillcolor="#FFFFFF" filled="t" stroked="f" coordsize="21600,21600" o:gfxdata="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L7xt82gAAAAsBAAAP&#10;AAAAAAAAAAEAIAAAACIAAABkcnMvZG93bnJldi54bWxQSwECFAAUAAAACACHTuJAtGnW/t0BAADL&#10;AwAADgAAAAAAAAABACAAAAApAQAAZHJzL2Uyb0RvYy54bWxQSwUGAAAAAAYABgBZAQAAe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50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textAlignment w:val="auto"/>
                        <w:rPr>
                          <w:rFonts w:hint="eastAsia" w:ascii="宋体" w:hAnsi="宋体" w:eastAsia="宋体" w:cs="宋体"/>
                          <w:b w:val="0"/>
                          <w:bCs/>
                          <w:color w:val="auto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fldChar w:fldCharType="begin"/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instrText xml:space="preserve"> FORMTEXT </w:instrTex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fldChar w:fldCharType="separate"/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t>中国香料香精化妆品工业协会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fldChar w:fldCharType="end"/>
                      </w:r>
                      <w:r>
                        <w:rPr>
                          <w:rStyle w:val="149"/>
                          <w:rFonts w:hint="eastAsia" w:ascii="宋体" w:hAnsi="宋体" w:eastAsia="宋体" w:cs="宋体"/>
                          <w:b w:val="0"/>
                          <w:bCs/>
                          <w:color w:val="auto"/>
                          <w:spacing w:val="100"/>
                          <w:sz w:val="28"/>
                          <w:szCs w:val="28"/>
                        </w:rPr>
                        <w:t xml:space="preserve"> 发</w:t>
                      </w:r>
                      <w:r>
                        <w:rPr>
                          <w:rStyle w:val="149"/>
                          <w:rFonts w:hint="eastAsia" w:ascii="宋体" w:hAnsi="宋体" w:eastAsia="宋体" w:cs="宋体"/>
                          <w:b w:val="0"/>
                          <w:bCs/>
                          <w:color w:val="auto"/>
                          <w:spacing w:val="50"/>
                          <w:sz w:val="28"/>
                          <w:szCs w:val="28"/>
                        </w:rPr>
                        <w:t>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4107180</wp:posOffset>
                </wp:positionH>
                <wp:positionV relativeFrom="margin">
                  <wp:posOffset>8561070</wp:posOffset>
                </wp:positionV>
                <wp:extent cx="2019300" cy="312420"/>
                <wp:effectExtent l="0" t="0" r="0" b="11430"/>
                <wp:wrapNone/>
                <wp:docPr id="5" name="fmFram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68"/>
                            </w:pPr>
                            <w:r>
                              <w:rPr>
                                <w:rFonts w:hint="eastAsia" w:ascii="黑体"/>
                              </w:rPr>
                              <w:t>XXXX</w:t>
                            </w:r>
                            <w:r>
                              <w:rPr>
                                <w:rFonts w:ascii="黑体"/>
                              </w:rPr>
                              <w:t>-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 w:ascii="黑体"/>
                              </w:rPr>
                              <w:t>XX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黑体"/>
                              </w:rPr>
                              <w:t>-</w:t>
                            </w:r>
                            <w:r>
                              <w:rPr>
                                <w:rFonts w:ascii="黑体" w:hAnsi="黑体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/>
                              </w:rPr>
                              <w:t>XX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  <w:p>
                            <w:pPr>
                              <w:pStyle w:val="179"/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6" o:spid="_x0000_s1026" o:spt="202" type="#_x0000_t202" style="position:absolute;left:0pt;margin-left:323.4pt;margin-top:674.1pt;height:24.6pt;width:159pt;mso-position-horizontal-relative:margin;mso-position-vertical-relative:margin;z-index:251663360;mso-width-relative:page;mso-height-relative:page;" fillcolor="#FFFFFF" filled="t" stroked="f" coordsize="21600,21600" o:gfxdata="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Is5ok9oAAAANAQAADwAAAAAAAAABACAAAAAiAAAAZHJz&#10;L2Rvd25yZXYueG1sUEsBAhQAFAAAAAgAh07iQKZKQ8bJAQAApgMAAA4AAAAAAAAAAQAgAAAAKQEA&#10;AGRycy9lMm9Eb2MueG1sUEsFBgAAAAAGAAYAWQEAAGQ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68"/>
                      </w:pPr>
                      <w:r>
                        <w:rPr>
                          <w:rFonts w:hint="eastAsia" w:ascii="黑体"/>
                        </w:rPr>
                        <w:t>XXXX</w:t>
                      </w:r>
                      <w:r>
                        <w:rPr>
                          <w:rFonts w:ascii="黑体"/>
                        </w:rPr>
                        <w:t>-</w:t>
                      </w:r>
                      <w:r>
                        <w:t xml:space="preserve"> </w:t>
                      </w:r>
                      <w:r>
                        <w:rPr>
                          <w:rFonts w:hint="eastAsia" w:ascii="黑体"/>
                        </w:rPr>
                        <w:t>XX</w:t>
                      </w:r>
                      <w:r>
                        <w:t xml:space="preserve"> </w:t>
                      </w:r>
                      <w:r>
                        <w:rPr>
                          <w:rFonts w:ascii="黑体"/>
                        </w:rPr>
                        <w:t>-</w:t>
                      </w:r>
                      <w:r>
                        <w:rPr>
                          <w:rFonts w:ascii="黑体" w:hAnsi="黑体"/>
                        </w:rPr>
                        <w:t xml:space="preserve"> </w:t>
                      </w:r>
                      <w:r>
                        <w:rPr>
                          <w:rFonts w:hint="eastAsia" w:ascii="黑体" w:hAnsi="黑体"/>
                        </w:rPr>
                        <w:t>XX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  <w:p>
                      <w:pPr>
                        <w:pStyle w:val="179"/>
                        <w:rPr>
                          <w:color w:val="auto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margin">
                  <wp:posOffset>15875</wp:posOffset>
                </wp:positionH>
                <wp:positionV relativeFrom="margin">
                  <wp:posOffset>8555355</wp:posOffset>
                </wp:positionV>
                <wp:extent cx="2019300" cy="312420"/>
                <wp:effectExtent l="0" t="0" r="0" b="11430"/>
                <wp:wrapNone/>
                <wp:docPr id="4" name="fmFram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XXXX- XX-XX发布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5" o:spid="_x0000_s1026" o:spt="202" type="#_x0000_t202" style="position:absolute;left:0pt;margin-left:1.25pt;margin-top:673.65pt;height:24.6pt;width:159pt;mso-position-horizontal-relative:margin;mso-position-vertical-relative:margin;z-index:251662336;mso-width-relative:page;mso-height-relative:page;" fillcolor="#FFFFFF" filled="t" stroked="f" coordsize="21600,21600" o:gfxdata="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DgJbxjYAAAACwEAAA8AAAAAAAAAAQAgAAAAIgAAAGRycy9k&#10;b3ducmV2LnhtbFBLAQIUABQAAAAIAIdO4kArFbhMyQEAAKYDAAAOAAAAAAAAAAEAIAAAACcBAABk&#10;cnMvZTJvRG9jLnhtbFBLBQYAAAAABgAGAFkBAABi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XXXX- XX-XX发布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posOffset>3670300</wp:posOffset>
                </wp:positionV>
                <wp:extent cx="5969000" cy="4370070"/>
                <wp:effectExtent l="0" t="0" r="12700" b="11430"/>
                <wp:wrapNone/>
                <wp:docPr id="3" name="fmFram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00" cy="437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55"/>
                              <w:rPr>
                                <w:rFonts w:hint="default" w:eastAsia="黑体"/>
                                <w:b w:val="0"/>
                                <w:bCs w:val="0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auto"/>
                                <w:szCs w:val="52"/>
                                <w:lang w:val="en-US" w:eastAsia="zh-CN"/>
                              </w:rPr>
                              <w:t>化妆品</w:t>
                            </w:r>
                            <w:r>
                              <w:rPr>
                                <w:rFonts w:hint="eastAsia" w:hAnsi="黑体" w:cs="黑体"/>
                                <w:b w:val="0"/>
                                <w:bCs w:val="0"/>
                                <w:color w:val="auto"/>
                                <w:szCs w:val="52"/>
                                <w:lang w:val="en-US" w:eastAsia="zh-CN"/>
                              </w:rPr>
                              <w:t>用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auto"/>
                                <w:szCs w:val="52"/>
                                <w:lang w:val="en-US" w:eastAsia="zh-CN"/>
                              </w:rPr>
                              <w:t>原料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auto"/>
                                <w:szCs w:val="52"/>
                                <w:lang w:val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hAnsi="黑体" w:cs="黑体"/>
                                <w:b w:val="0"/>
                                <w:bCs w:val="0"/>
                                <w:color w:val="auto"/>
                                <w:szCs w:val="52"/>
                                <w:lang w:val="en-US" w:eastAsia="zh-CN"/>
                              </w:rPr>
                              <w:t>六肽-11</w:t>
                            </w:r>
                          </w:p>
                          <w:p>
                            <w:pPr>
                              <w:pStyle w:val="158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32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  <w:lang w:val="en-US" w:eastAsia="zh-CN"/>
                              </w:rPr>
                              <w:t>Cosmetic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</w:rPr>
                              <w:t xml:space="preserve"> in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  <w:lang w:val="en-US" w:eastAsia="zh-CN"/>
                              </w:rPr>
                              <w:t>gredients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</w:rPr>
                              <w:t>—Hexapeptide-11</w:t>
                            </w:r>
                          </w:p>
                          <w:p>
                            <w:pPr>
                              <w:pStyle w:val="156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（征求意见稿）</w:t>
                            </w:r>
                          </w:p>
                          <w:p>
                            <w:pPr>
                              <w:pStyle w:val="156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156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158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32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在提交反馈意见时，请将您知道的相关专利连同支持性文件一并附上。</w:t>
                            </w:r>
                          </w:p>
                          <w:p>
                            <w:pPr>
                              <w:pStyle w:val="134"/>
                            </w:pPr>
                          </w:p>
                          <w:p>
                            <w:pPr>
                              <w:pStyle w:val="157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fmFrame4" o:spid="_x0000_s1026" o:spt="202" type="#_x0000_t202" style="position:absolute;left:0pt;margin-top:289pt;height:344.1pt;width:470pt;mso-position-horizontal:center;mso-position-horizontal-relative:margin;mso-position-vertical-relative:margin;z-index:251661312;mso-width-relative:page;mso-height-relative:page;" fillcolor="#FFFFFF" filled="t" stroked="f" coordsize="21600,21600" o:gfxdata="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5i26A1wAAAAkBAAAP&#10;AAAAAAAAAAEAIAAAACIAAABkcnMvZG93bnJldi54bWxQSwECFAAUAAAACACHTuJAE6jW5uABAADM&#10;AwAADgAAAAAAAAABACAAAAAmAQAAZHJzL2Uyb0RvYy54bWxQSwUGAAAAAAYABgBZAQAAe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55"/>
                        <w:rPr>
                          <w:rFonts w:hint="default" w:eastAsia="黑体"/>
                          <w:b w:val="0"/>
                          <w:bCs w:val="0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auto"/>
                          <w:szCs w:val="52"/>
                          <w:lang w:val="en-US" w:eastAsia="zh-CN"/>
                        </w:rPr>
                        <w:t>化妆品</w:t>
                      </w:r>
                      <w:r>
                        <w:rPr>
                          <w:rFonts w:hint="eastAsia" w:hAnsi="黑体" w:cs="黑体"/>
                          <w:b w:val="0"/>
                          <w:bCs w:val="0"/>
                          <w:color w:val="auto"/>
                          <w:szCs w:val="52"/>
                          <w:lang w:val="en-US" w:eastAsia="zh-CN"/>
                        </w:rPr>
                        <w:t>用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auto"/>
                          <w:szCs w:val="52"/>
                          <w:lang w:val="en-US" w:eastAsia="zh-CN"/>
                        </w:rPr>
                        <w:t>原料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auto"/>
                          <w:szCs w:val="52"/>
                          <w:lang w:val="zh-CN"/>
                        </w:rPr>
                        <w:t xml:space="preserve">  </w:t>
                      </w:r>
                      <w:r>
                        <w:rPr>
                          <w:rFonts w:hint="eastAsia" w:hAnsi="黑体" w:cs="黑体"/>
                          <w:b w:val="0"/>
                          <w:bCs w:val="0"/>
                          <w:color w:val="auto"/>
                          <w:szCs w:val="52"/>
                          <w:lang w:val="en-US" w:eastAsia="zh-CN"/>
                        </w:rPr>
                        <w:t>六肽-11</w:t>
                      </w:r>
                    </w:p>
                    <w:p>
                      <w:pPr>
                        <w:pStyle w:val="158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32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  <w:lang w:val="en-US" w:eastAsia="zh-CN"/>
                        </w:rPr>
                        <w:t>Cosmetic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</w:rPr>
                        <w:t xml:space="preserve"> in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  <w:lang w:val="en-US" w:eastAsia="zh-CN"/>
                        </w:rPr>
                        <w:t>gredients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</w:rPr>
                        <w:t>—Hexapeptide-11</w:t>
                      </w:r>
                    </w:p>
                    <w:p>
                      <w:pPr>
                        <w:pStyle w:val="156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（征求意见稿）</w:t>
                      </w:r>
                    </w:p>
                    <w:p>
                      <w:pPr>
                        <w:pStyle w:val="156"/>
                        <w:rPr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156"/>
                        <w:rPr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158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32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在提交反馈意见时，请将您知道的相关专利连同支持性文件一并附上。</w:t>
                      </w:r>
                    </w:p>
                    <w:p>
                      <w:pPr>
                        <w:pStyle w:val="134"/>
                      </w:pPr>
                    </w:p>
                    <w:p>
                      <w:pPr>
                        <w:pStyle w:val="157"/>
                        <w:rPr>
                          <w:rFonts w:hint="eastAsi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posOffset>-23495</wp:posOffset>
                </wp:positionH>
                <wp:positionV relativeFrom="margin">
                  <wp:posOffset>1689735</wp:posOffset>
                </wp:positionV>
                <wp:extent cx="5958205" cy="412115"/>
                <wp:effectExtent l="0" t="0" r="4445" b="6985"/>
                <wp:wrapNone/>
                <wp:docPr id="2" name="fmFram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8205" cy="412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ind w:left="0" w:right="0" w:firstLine="0"/>
                              <w:jc w:val="right"/>
                              <w:textAlignment w:val="auto"/>
                              <w:rPr>
                                <w:rFonts w:ascii="黑体" w:hAnsi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/>
                                <w:sz w:val="28"/>
                                <w:szCs w:val="28"/>
                                <w:lang w:val="en-US" w:eastAsia="zh-CN"/>
                              </w:rPr>
                              <w:t>T</w:t>
                            </w:r>
                            <w:r>
                              <w:rPr>
                                <w:rFonts w:ascii="黑体" w:hAnsi="黑体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hint="eastAsia" w:ascii="黑体" w:hAnsi="黑体"/>
                                <w:sz w:val="28"/>
                                <w:szCs w:val="28"/>
                                <w:lang w:val="en-US" w:eastAsia="zh-CN"/>
                              </w:rPr>
                              <w:t>CAFFCI</w:t>
                            </w:r>
                            <w:r>
                              <w:rPr>
                                <w:rFonts w:ascii="黑体" w:hAnsi="黑体"/>
                                <w:sz w:val="28"/>
                                <w:szCs w:val="28"/>
                              </w:rPr>
                              <w:t xml:space="preserve"> XXXX—XXXX</w:t>
                            </w:r>
                          </w:p>
                          <w:p>
                            <w:pPr>
                              <w:pStyle w:val="152"/>
                              <w:rPr>
                                <w:rFonts w:hint="eastAsia" w:ascii="黑体" w:eastAsia="黑体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fmFrame3" o:spid="_x0000_s1026" o:spt="202" type="#_x0000_t202" style="position:absolute;left:0pt;margin-left:-1.85pt;margin-top:133.05pt;height:32.45pt;width:469.15pt;mso-position-horizontal-relative:margin;mso-position-vertical-relative:margin;z-index:251660288;mso-width-relative:page;mso-height-relative:page;" fillcolor="#FFFFFF" filled="t" stroked="f" coordsize="21600,21600" o:gfxdata="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QqdcXZAAAACgEAAA8A&#10;AAAAAAAAAQAgAAAAIgAAAGRycy9kb3ducmV2LnhtbFBLAQIUABQAAAAIAIdO4kAraga53QEAAMsD&#10;AAAOAAAAAAAAAAEAIAAAACgBAABkcnMvZTJvRG9jLnhtbFBLBQYAAAAABgAGAFkBAAB3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ind w:left="0" w:right="0" w:firstLine="0"/>
                        <w:jc w:val="right"/>
                        <w:textAlignment w:val="auto"/>
                        <w:rPr>
                          <w:rFonts w:ascii="黑体" w:hAnsi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/>
                          <w:sz w:val="28"/>
                          <w:szCs w:val="28"/>
                          <w:lang w:val="en-US" w:eastAsia="zh-CN"/>
                        </w:rPr>
                        <w:t>T</w:t>
                      </w:r>
                      <w:r>
                        <w:rPr>
                          <w:rFonts w:ascii="黑体" w:hAnsi="黑体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hint="eastAsia" w:ascii="黑体" w:hAnsi="黑体"/>
                          <w:sz w:val="28"/>
                          <w:szCs w:val="28"/>
                          <w:lang w:val="en-US" w:eastAsia="zh-CN"/>
                        </w:rPr>
                        <w:t>CAFFCI</w:t>
                      </w:r>
                      <w:r>
                        <w:rPr>
                          <w:rFonts w:ascii="黑体" w:hAnsi="黑体"/>
                          <w:sz w:val="28"/>
                          <w:szCs w:val="28"/>
                        </w:rPr>
                        <w:t xml:space="preserve"> XXXX—XXXX</w:t>
                      </w:r>
                    </w:p>
                    <w:p>
                      <w:pPr>
                        <w:pStyle w:val="152"/>
                        <w:rPr>
                          <w:rFonts w:hint="eastAsia" w:ascii="黑体" w:eastAsia="黑体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posOffset>1084580</wp:posOffset>
                </wp:positionV>
                <wp:extent cx="6139815" cy="418465"/>
                <wp:effectExtent l="0" t="0" r="13335" b="635"/>
                <wp:wrapNone/>
                <wp:docPr id="1" name="fm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9815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76"/>
                              <w:ind w:left="1275" w:leftChars="607" w:right="1270" w:rightChars="605"/>
                            </w:pPr>
                            <w:r>
                              <w:rPr>
                                <w:rFonts w:hint="eastAsia"/>
                              </w:rPr>
                              <w:t>团体标准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fmFrame2" o:spid="_x0000_s1026" o:spt="202" type="#_x0000_t202" style="position:absolute;left:0pt;margin-top:85.4pt;height:32.95pt;width:483.45pt;mso-position-horizontal:center;mso-position-horizontal-relative:margin;mso-position-vertical-relative:margin;z-index:251659264;mso-width-relative:page;mso-height-relative:page;" fillcolor="#FFFFFF" filled="t" stroked="f" coordsize="21600,21600" o:gfxdata="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MVTHJ1wAAAAgBAAAPAAAA&#10;AAAAAAEAIAAAACIAAABkcnMvZG93bnJldi54bWxQSwECFAAUAAAACACHTuJAsq8eEt0BAADLAwAA&#10;DgAAAAAAAAABACAAAAAmAQAAZHJzL2Uyb0RvYy54bWxQSwUGAAAAAAYABgBZAQAAd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76"/>
                        <w:ind w:left="1275" w:leftChars="607" w:right="1270" w:rightChars="605"/>
                      </w:pPr>
                      <w:r>
                        <w:rPr>
                          <w:rFonts w:hint="eastAsia"/>
                        </w:rPr>
                        <w:t>团体标准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CCS Y42</w:t>
      </w:r>
    </w:p>
    <w:p>
      <w:pPr>
        <w:pStyle w:val="1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1907" w:h="16839"/>
          <w:pgMar w:top="567" w:right="851" w:bottom="1134" w:left="1418" w:header="0" w:footer="567" w:gutter="0"/>
          <w:pgNumType w:fmt="decimal" w:start="1"/>
          <w:cols w:space="720" w:num="1"/>
          <w:titlePg/>
          <w:docGrid w:type="lines" w:linePitch="312" w:charSpace="0"/>
        </w:sect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8535670</wp:posOffset>
                </wp:positionV>
                <wp:extent cx="6121400" cy="0"/>
                <wp:effectExtent l="0" t="0" r="0" b="0"/>
                <wp:wrapNone/>
                <wp:docPr id="7" name="直线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2" o:spid="_x0000_s1026" o:spt="20" style="position:absolute;left:0pt;margin-left:0pt;margin-top:672.1pt;height:0pt;width:482pt;z-index:251665408;mso-width-relative:page;mso-height-relative:page;" filled="f" stroked="t" coordsize="21600,21600" o:gfxdata="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57RrfW&#10;AAAACgEAAA8AAAAAAAAAAQAgAAAAIgAAAGRycy9kb3ducmV2LnhtbFBLAQIUABQAAAAIAIdO4kBt&#10;H1RG6QEAAN4DAAAOAAAAAAAAAAEAIAAAACUBAABkcnMvZTJvRG9jLnhtbFBLBQYAAAAABgAGAFkB&#10;AACA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1963420</wp:posOffset>
                </wp:positionV>
                <wp:extent cx="6121400" cy="0"/>
                <wp:effectExtent l="0" t="0" r="0" b="0"/>
                <wp:wrapNone/>
                <wp:docPr id="6" name="直线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8" o:spid="_x0000_s1026" o:spt="20" style="position:absolute;left:0pt;margin-left:-3.25pt;margin-top:154.6pt;height:0pt;width:482pt;z-index:251664384;mso-width-relative:page;mso-height-relative:page;" filled="f" stroked="t" coordsize="21600,21600" o:gfxdata="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fr4&#10;ZdgAAAAKAQAADwAAAAAAAAABACAAAAAiAAAAZHJzL2Rvd25yZXYueG1sUEsBAhQAFAAAAAgAh07i&#10;QHPJdEHpAQAA3gMAAA4AAAAAAAAAAQAgAAAAJwEAAGRycy9lMm9Eb2MueG1sUEsFBgAAAAAGAAYA&#10;WQEAAII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bookmarkEnd w:id="0"/>
    <w:bookmarkEnd w:id="1"/>
    <w:bookmarkEnd w:id="2"/>
    <w:bookmarkEnd w:id="3"/>
    <w:bookmarkEnd w:id="4"/>
    <w:p>
      <w:pPr>
        <w:pStyle w:val="141"/>
        <w:bidi w:val="0"/>
        <w:ind w:left="0" w:leftChars="0" w:firstLine="0" w:firstLineChars="0"/>
        <w:rPr>
          <w:rFonts w:hint="eastAsia"/>
          <w:color w:val="auto"/>
          <w:highlight w:val="none"/>
        </w:rPr>
      </w:pPr>
      <w:bookmarkStart w:id="5" w:name="_Toc225940559"/>
      <w:bookmarkStart w:id="6" w:name="_Toc236563112"/>
      <w:bookmarkStart w:id="7" w:name="_Toc236566521"/>
      <w:bookmarkStart w:id="8" w:name="_Toc236566468"/>
      <w:bookmarkStart w:id="9" w:name="_Toc224443025"/>
      <w:bookmarkStart w:id="10" w:name="_Toc225940354"/>
      <w:bookmarkStart w:id="11" w:name="_Toc225940068"/>
      <w:bookmarkStart w:id="12" w:name="_Toc225940329"/>
      <w:bookmarkStart w:id="13" w:name="_Toc225940260"/>
      <w:bookmarkStart w:id="14" w:name="SectionMark2"/>
      <w:r>
        <w:rPr>
          <w:rFonts w:hint="eastAsia"/>
          <w:color w:val="auto"/>
          <w:highlight w:val="none"/>
        </w:rPr>
        <w:t>前    言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143"/>
        <w:ind w:firstLine="42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本</w:t>
      </w:r>
      <w:r>
        <w:rPr>
          <w:rFonts w:hint="eastAsia"/>
          <w:color w:val="auto"/>
          <w:highlight w:val="none"/>
          <w:lang w:val="en-US" w:eastAsia="zh-CN"/>
        </w:rPr>
        <w:t>文件</w:t>
      </w:r>
      <w:r>
        <w:rPr>
          <w:rFonts w:hint="eastAsia"/>
          <w:color w:val="auto"/>
          <w:highlight w:val="none"/>
        </w:rPr>
        <w:t>根据GB/T 1.1—20</w:t>
      </w: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rFonts w:hint="eastAsia"/>
          <w:color w:val="auto"/>
          <w:highlight w:val="none"/>
        </w:rPr>
        <w:t>0《标准化工作导则  第1部分：标准</w:t>
      </w:r>
      <w:r>
        <w:rPr>
          <w:rFonts w:hint="eastAsia"/>
          <w:color w:val="auto"/>
          <w:highlight w:val="none"/>
          <w:lang w:val="en-US" w:eastAsia="zh-CN"/>
        </w:rPr>
        <w:t>化文件</w:t>
      </w:r>
      <w:r>
        <w:rPr>
          <w:rFonts w:hint="eastAsia"/>
          <w:color w:val="auto"/>
          <w:highlight w:val="none"/>
        </w:rPr>
        <w:t>的结构和</w:t>
      </w:r>
      <w:r>
        <w:rPr>
          <w:rFonts w:hint="eastAsia"/>
          <w:color w:val="auto"/>
          <w:highlight w:val="none"/>
          <w:lang w:val="en-US" w:eastAsia="zh-CN"/>
        </w:rPr>
        <w:t>起草</w:t>
      </w:r>
      <w:r>
        <w:rPr>
          <w:rFonts w:hint="eastAsia"/>
          <w:color w:val="auto"/>
          <w:highlight w:val="none"/>
        </w:rPr>
        <w:t>规则》</w:t>
      </w:r>
      <w:r>
        <w:rPr>
          <w:rFonts w:hint="eastAsia"/>
          <w:color w:val="auto"/>
          <w:highlight w:val="none"/>
          <w:lang w:val="en-US" w:eastAsia="zh-CN"/>
        </w:rPr>
        <w:t>的规定起草</w:t>
      </w:r>
      <w:r>
        <w:rPr>
          <w:rFonts w:hint="eastAsia"/>
          <w:color w:val="auto"/>
          <w:highlight w:val="none"/>
        </w:rPr>
        <w:t>。</w:t>
      </w:r>
    </w:p>
    <w:p>
      <w:pPr>
        <w:pStyle w:val="143"/>
        <w:ind w:firstLine="420"/>
        <w:rPr>
          <w:rFonts w:hint="eastAsia" w:ascii="宋体" w:hAnsi="Times New Roman" w:eastAsia="宋体" w:cs="Times New Roman"/>
          <w:color w:val="auto"/>
          <w:highlight w:val="none"/>
        </w:rPr>
      </w:pPr>
      <w:r>
        <w:rPr>
          <w:rFonts w:hint="eastAsia" w:ascii="宋体" w:hAnsi="Times New Roman" w:eastAsia="宋体" w:cs="Times New Roman"/>
          <w:color w:val="auto"/>
          <w:highlight w:val="none"/>
          <w:lang w:val="en-US" w:eastAsia="zh-CN"/>
        </w:rPr>
        <w:t>本文件由中国香料香精化妆品工业协会提出及归口。</w:t>
      </w:r>
    </w:p>
    <w:p>
      <w:pPr>
        <w:spacing w:line="360" w:lineRule="auto"/>
        <w:ind w:left="0" w:leftChars="0" w:firstLine="420" w:firstLineChars="200"/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本文件起草单位：山东济肽生物科技有限公司、北京贝丽莱斯生物科技有限公司。</w:t>
      </w:r>
    </w:p>
    <w:p>
      <w:pPr>
        <w:spacing w:line="360" w:lineRule="auto"/>
        <w:ind w:left="0" w:leftChars="0" w:firstLine="420" w:firstLineChars="200"/>
        <w:rPr>
          <w:rFonts w:hint="default" w:ascii="宋体" w:hAnsi="Times New Roman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本文件主要起草人员：于更立、董雪菊、李伦、李冉冉、苏超、韩慧林、张雷、郭秀茹、杨磊。</w:t>
      </w:r>
    </w:p>
    <w:p>
      <w:pPr>
        <w:pStyle w:val="143"/>
        <w:ind w:firstLine="42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本</w:t>
      </w:r>
      <w:r>
        <w:rPr>
          <w:rFonts w:hint="eastAsia"/>
          <w:color w:val="auto"/>
          <w:highlight w:val="none"/>
          <w:lang w:val="en-US" w:eastAsia="zh-CN"/>
        </w:rPr>
        <w:t>文件</w:t>
      </w:r>
      <w:r>
        <w:rPr>
          <w:rFonts w:hint="eastAsia"/>
          <w:color w:val="auto"/>
          <w:highlight w:val="none"/>
        </w:rPr>
        <w:t>为首次发布。</w:t>
      </w:r>
    </w:p>
    <w:p>
      <w:pPr>
        <w:rPr>
          <w:rFonts w:hint="eastAsia"/>
          <w:color w:val="auto"/>
          <w:highlight w:val="none"/>
        </w:rPr>
      </w:pPr>
    </w:p>
    <w:p>
      <w:pPr>
        <w:rPr>
          <w:rFonts w:hint="eastAsia"/>
          <w:color w:val="auto"/>
          <w:highlight w:val="none"/>
        </w:rPr>
        <w:sectPr>
          <w:headerReference r:id="rId8" w:type="default"/>
          <w:footerReference r:id="rId9" w:type="default"/>
          <w:pgSz w:w="11907" w:h="16839"/>
          <w:pgMar w:top="1418" w:right="1134" w:bottom="1134" w:left="1418" w:header="1418" w:footer="851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hAnsi="宋体"/>
          <w:color w:val="auto"/>
          <w:highlight w:val="none"/>
        </w:rPr>
        <w:t>请注意本文件的某些内容可能涉及专利。本文件的发布机构不承担识别专利的责任。</w:t>
      </w:r>
    </w:p>
    <w:bookmarkEnd w:id="14"/>
    <w:p>
      <w:pPr>
        <w:pStyle w:val="141"/>
        <w:bidi w:val="0"/>
        <w:ind w:left="0" w:leftChars="0" w:firstLine="0" w:firstLineChars="0"/>
        <w:rPr>
          <w:rFonts w:hint="eastAsia"/>
          <w:color w:val="auto"/>
          <w:spacing w:val="0"/>
          <w:highlight w:val="none"/>
        </w:rPr>
      </w:pPr>
      <w:bookmarkStart w:id="15" w:name="SectionMark4"/>
      <w:r>
        <w:rPr>
          <w:rFonts w:hint="eastAsia"/>
          <w:color w:val="auto"/>
          <w:spacing w:val="0"/>
          <w:highlight w:val="none"/>
          <w:lang w:val="en-US" w:eastAsia="zh-CN"/>
        </w:rPr>
        <w:t>化妆品用原料</w:t>
      </w:r>
      <w:r>
        <w:rPr>
          <w:rFonts w:hint="eastAsia"/>
          <w:color w:val="auto"/>
          <w:spacing w:val="0"/>
          <w:highlight w:val="none"/>
          <w:lang w:val="zh-CN"/>
        </w:rPr>
        <w:t xml:space="preserve">  </w:t>
      </w:r>
      <w:r>
        <w:rPr>
          <w:rFonts w:hint="eastAsia"/>
          <w:color w:val="auto"/>
          <w:spacing w:val="0"/>
          <w:highlight w:val="none"/>
          <w:lang w:val="en-US" w:eastAsia="zh-CN"/>
        </w:rPr>
        <w:t>六肽-11</w:t>
      </w:r>
    </w:p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</w:rPr>
      </w:pPr>
      <w:bookmarkStart w:id="16" w:name="_Toc236566524"/>
      <w:bookmarkStart w:id="17" w:name="_Toc225940070"/>
      <w:bookmarkStart w:id="18" w:name="_Toc225940561"/>
      <w:bookmarkStart w:id="19" w:name="_Toc236566471"/>
      <w:bookmarkStart w:id="20" w:name="_Toc225940262"/>
      <w:bookmarkStart w:id="21" w:name="_Toc225940356"/>
      <w:bookmarkStart w:id="22" w:name="_Toc225940331"/>
      <w:bookmarkStart w:id="23" w:name="_Toc224443027"/>
      <w:r>
        <w:rPr>
          <w:rFonts w:hint="eastAsia"/>
          <w:color w:val="auto"/>
          <w:spacing w:val="0"/>
          <w:highlight w:val="none"/>
        </w:rPr>
        <w:t>范围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143"/>
        <w:ind w:firstLine="420"/>
        <w:rPr>
          <w:rFonts w:hint="eastAsia"/>
          <w:color w:val="auto"/>
          <w:spacing w:val="0"/>
          <w:highlight w:val="none"/>
        </w:rPr>
      </w:pPr>
      <w:r>
        <w:rPr>
          <w:rFonts w:hint="eastAsia"/>
          <w:color w:val="auto"/>
          <w:spacing w:val="0"/>
          <w:highlight w:val="none"/>
        </w:rPr>
        <w:t>本</w:t>
      </w:r>
      <w:r>
        <w:rPr>
          <w:rFonts w:hint="eastAsia"/>
          <w:color w:val="auto"/>
          <w:spacing w:val="0"/>
          <w:highlight w:val="none"/>
          <w:lang w:val="en-US" w:eastAsia="zh-CN"/>
        </w:rPr>
        <w:t>文件</w:t>
      </w:r>
      <w:r>
        <w:rPr>
          <w:rFonts w:hint="eastAsia"/>
          <w:color w:val="auto"/>
          <w:spacing w:val="0"/>
          <w:highlight w:val="none"/>
        </w:rPr>
        <w:t>规定了</w:t>
      </w:r>
      <w:r>
        <w:rPr>
          <w:rFonts w:hint="eastAsia"/>
          <w:color w:val="auto"/>
          <w:spacing w:val="0"/>
          <w:highlight w:val="none"/>
          <w:lang w:val="en-US" w:eastAsia="zh-CN"/>
        </w:rPr>
        <w:t>化妆品用原料六肽-11的基本信息、要求、试验方法、检验规则、标志、包装、运输、贮存和保质期</w:t>
      </w:r>
      <w:r>
        <w:rPr>
          <w:rFonts w:hint="eastAsia"/>
          <w:color w:val="auto"/>
          <w:spacing w:val="0"/>
          <w:highlight w:val="none"/>
        </w:rPr>
        <w:t>。</w:t>
      </w:r>
    </w:p>
    <w:p>
      <w:pPr>
        <w:pStyle w:val="143"/>
        <w:ind w:firstLine="420"/>
        <w:rPr>
          <w:rFonts w:hint="eastAsia"/>
          <w:color w:val="auto"/>
          <w:spacing w:val="0"/>
          <w:szCs w:val="32"/>
          <w:highlight w:val="none"/>
        </w:rPr>
      </w:pPr>
      <w:r>
        <w:rPr>
          <w:rFonts w:hint="eastAsia"/>
          <w:color w:val="auto"/>
          <w:spacing w:val="0"/>
          <w:highlight w:val="none"/>
        </w:rPr>
        <w:t>本</w:t>
      </w:r>
      <w:r>
        <w:rPr>
          <w:rFonts w:hint="eastAsia"/>
          <w:color w:val="auto"/>
          <w:spacing w:val="0"/>
          <w:highlight w:val="none"/>
          <w:lang w:val="en-US" w:eastAsia="zh-CN"/>
        </w:rPr>
        <w:t>文件</w:t>
      </w:r>
      <w:r>
        <w:rPr>
          <w:rFonts w:hint="eastAsia"/>
          <w:color w:val="auto"/>
          <w:spacing w:val="0"/>
          <w:highlight w:val="none"/>
        </w:rPr>
        <w:t>适用于</w:t>
      </w:r>
      <w:r>
        <w:rPr>
          <w:rFonts w:hint="eastAsia"/>
          <w:color w:val="auto"/>
          <w:spacing w:val="0"/>
          <w:highlight w:val="none"/>
          <w:lang w:val="en-US" w:eastAsia="zh-CN"/>
        </w:rPr>
        <w:t>经</w:t>
      </w:r>
      <w:r>
        <w:rPr>
          <w:rFonts w:hint="eastAsia"/>
          <w:color w:val="auto"/>
          <w:szCs w:val="32"/>
          <w:highlight w:val="none"/>
          <w:lang w:val="en-US" w:eastAsia="zh-CN"/>
        </w:rPr>
        <w:t>化学</w:t>
      </w:r>
      <w:r>
        <w:rPr>
          <w:rFonts w:hint="eastAsia"/>
          <w:color w:val="auto"/>
          <w:szCs w:val="32"/>
          <w:highlight w:val="none"/>
        </w:rPr>
        <w:t>合成</w:t>
      </w:r>
      <w:r>
        <w:rPr>
          <w:rFonts w:hint="eastAsia"/>
          <w:color w:val="auto"/>
          <w:spacing w:val="0"/>
          <w:szCs w:val="32"/>
          <w:highlight w:val="none"/>
          <w:lang w:val="en-US" w:eastAsia="zh-CN"/>
        </w:rPr>
        <w:t>工艺制得的</w:t>
      </w:r>
      <w:r>
        <w:rPr>
          <w:rFonts w:hint="eastAsia"/>
          <w:color w:val="auto"/>
          <w:spacing w:val="0"/>
          <w:highlight w:val="none"/>
          <w:lang w:val="en-US" w:eastAsia="zh-CN"/>
        </w:rPr>
        <w:t>化妆品用原料六肽-11</w:t>
      </w:r>
      <w:r>
        <w:rPr>
          <w:rFonts w:hint="eastAsia"/>
          <w:color w:val="auto"/>
          <w:spacing w:val="0"/>
          <w:szCs w:val="32"/>
          <w:highlight w:val="none"/>
        </w:rPr>
        <w:t>。</w:t>
      </w:r>
    </w:p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</w:rPr>
      </w:pPr>
      <w:bookmarkStart w:id="24" w:name="_Toc236566472"/>
      <w:bookmarkStart w:id="25" w:name="_Toc225940357"/>
      <w:bookmarkStart w:id="26" w:name="_Toc225940263"/>
      <w:bookmarkStart w:id="27" w:name="_Toc225940071"/>
      <w:bookmarkStart w:id="28" w:name="_Toc224443028"/>
      <w:bookmarkStart w:id="29" w:name="_Toc225940332"/>
      <w:bookmarkStart w:id="30" w:name="_Toc225940562"/>
      <w:bookmarkStart w:id="31" w:name="_Toc236566525"/>
      <w:r>
        <w:rPr>
          <w:rFonts w:hint="eastAsia"/>
          <w:color w:val="auto"/>
          <w:spacing w:val="0"/>
          <w:highlight w:val="none"/>
        </w:rPr>
        <w:t>规范性引用文件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14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2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下列文件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中的内容通过规范性引用而构成本文件必不可少的条款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。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其中，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注日期的引用文件，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仅该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日期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对应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版本适用于本文件；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不注日期的引用文件，其最新版本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包括所有的修改单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适用于本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文件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 xml:space="preserve">GB/T 191  包装储运图示标志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GB/T 6283 化工产品中水分含量的测定 卡尔·费休法（通用方法）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 xml:space="preserve">GB/T 6678 化工产品采样总则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 xml:space="preserve">GB/T 6679 固体化工产品采样通则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GB/T 6682 分析实验室用水规格和试验方法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 xml:space="preserve">QB/T 1685 化妆品产品包装外观要求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hAnsi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《化妆品安全技术规范》（2015年版）</w:t>
      </w:r>
      <w:r>
        <w:rPr>
          <w:rFonts w:hint="eastAsia" w:hAnsi="宋体" w:cs="宋体"/>
          <w:color w:val="auto"/>
          <w:szCs w:val="21"/>
          <w:highlight w:val="none"/>
        </w:rPr>
        <w:t>（国家食品药品监督管理总局公告 2015 年第 268 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hAnsi="宋体" w:cs="宋体"/>
          <w:color w:val="auto"/>
          <w:szCs w:val="21"/>
          <w:highlight w:val="none"/>
        </w:rPr>
      </w:pP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《化妆品生产质量管理规范》（国家药品监督管理局公告2022年第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《中华人民共和国药典》（2020年版）</w:t>
      </w:r>
    </w:p>
    <w:p>
      <w:pPr>
        <w:pStyle w:val="144"/>
        <w:spacing w:before="157" w:beforeLines="50" w:after="157" w:afterLines="5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术语和定义</w:t>
      </w:r>
    </w:p>
    <w:p>
      <w:pPr>
        <w:pStyle w:val="143"/>
        <w:ind w:firstLine="42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下列术语和定义适用于本文件。</w:t>
      </w:r>
    </w:p>
    <w:p>
      <w:pPr>
        <w:pStyle w:val="144"/>
        <w:numPr>
          <w:ilvl w:val="255"/>
          <w:numId w:val="0"/>
        </w:numPr>
        <w:spacing w:before="157" w:beforeLines="50" w:after="157" w:afterLines="5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3.1 </w:t>
      </w:r>
    </w:p>
    <w:p>
      <w:pPr>
        <w:pStyle w:val="144"/>
        <w:numPr>
          <w:ilvl w:val="255"/>
          <w:numId w:val="0"/>
        </w:numPr>
        <w:spacing w:before="157" w:beforeLines="50" w:after="157" w:afterLines="50"/>
        <w:ind w:firstLine="420" w:firstLineChars="20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批 batch</w:t>
      </w:r>
    </w:p>
    <w:p>
      <w:pPr>
        <w:pStyle w:val="143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在同一生产周期、同一工艺过程内生产的，质量具有均一性的一定数量的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pStyle w:val="143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[来源：《化妆品生产质量管理规范》，第六十四条，有修改]</w:t>
      </w:r>
    </w:p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基本信息</w:t>
      </w:r>
    </w:p>
    <w:bookmarkEnd w:id="15"/>
    <w:p>
      <w:pPr>
        <w:pStyle w:val="201"/>
        <w:widowControl w:val="0"/>
        <w:autoSpaceDE/>
        <w:autoSpaceDN/>
        <w:rPr>
          <w:rFonts w:hint="eastAsia" w:ascii="宋体" w:hAnsi="宋体" w:eastAsia="宋体" w:cs="宋体"/>
          <w:color w:val="auto"/>
          <w:spacing w:val="0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1"/>
          <w:szCs w:val="21"/>
          <w:highlight w:val="none"/>
          <w:lang w:val="en-US" w:eastAsia="zh-CN"/>
        </w:rPr>
        <w:t>化学名称：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N-L-苯丙氨酰-L-缬氨酰-L-丙氨酰-L-脯氨酰-L-苯丙氨酰-L-脯氨酸</w:t>
      </w:r>
    </w:p>
    <w:p>
      <w:pPr>
        <w:pStyle w:val="172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INCI名称：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Hexapeptide-11</w:t>
      </w:r>
    </w:p>
    <w:p>
      <w:pPr>
        <w:pStyle w:val="172"/>
        <w:numPr>
          <w:ilvl w:val="0"/>
          <w:numId w:val="0"/>
        </w:numPr>
        <w:ind w:left="420" w:leftChars="0"/>
        <w:rPr>
          <w:rFonts w:hint="eastAsia" w:hAnsi="宋体"/>
          <w:color w:val="auto"/>
          <w:spacing w:val="0"/>
          <w:sz w:val="21"/>
          <w:szCs w:val="21"/>
          <w:highlight w:val="none"/>
        </w:rPr>
      </w:pPr>
      <w:r>
        <w:rPr>
          <w:rFonts w:hint="eastAsia" w:hAnsi="宋体"/>
          <w:color w:val="auto"/>
          <w:spacing w:val="0"/>
          <w:sz w:val="21"/>
          <w:szCs w:val="21"/>
          <w:highlight w:val="none"/>
          <w:lang w:val="en-US" w:eastAsia="zh-CN"/>
        </w:rPr>
        <w:t>中文名称：</w:t>
      </w:r>
      <w:r>
        <w:rPr>
          <w:rFonts w:hint="eastAsia"/>
          <w:color w:val="auto"/>
          <w:spacing w:val="0"/>
          <w:sz w:val="21"/>
          <w:szCs w:val="21"/>
          <w:highlight w:val="none"/>
          <w:lang w:val="en-US" w:eastAsia="zh-CN"/>
        </w:rPr>
        <w:t>六肽-11</w:t>
      </w:r>
    </w:p>
    <w:p>
      <w:pPr>
        <w:pStyle w:val="172"/>
        <w:numPr>
          <w:ilvl w:val="0"/>
          <w:numId w:val="0"/>
        </w:numPr>
        <w:ind w:left="420" w:leftChars="0"/>
        <w:rPr>
          <w:rFonts w:hint="eastAsia" w:hAnsi="宋体" w:eastAsia="宋体"/>
          <w:snapToGrid w:val="0"/>
          <w:color w:val="auto"/>
          <w:spacing w:val="0"/>
          <w:sz w:val="21"/>
          <w:szCs w:val="21"/>
          <w:highlight w:val="none"/>
          <w:lang w:eastAsia="zh-CN"/>
        </w:rPr>
      </w:pPr>
      <w:r>
        <w:rPr>
          <w:rFonts w:hint="eastAsia" w:hAnsi="宋体"/>
          <w:color w:val="auto"/>
          <w:spacing w:val="0"/>
          <w:sz w:val="21"/>
          <w:szCs w:val="21"/>
          <w:highlight w:val="none"/>
          <w:lang w:val="en-US" w:eastAsia="zh-CN"/>
        </w:rPr>
        <w:t>分子式：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  <w:t>C</w:t>
      </w:r>
      <w:r>
        <w:rPr>
          <w:rFonts w:hint="eastAsia" w:hAnsi="宋体" w:eastAsia="宋体" w:cs="宋体"/>
          <w:i w:val="0"/>
          <w:iCs w:val="0"/>
          <w:color w:val="auto"/>
          <w:sz w:val="21"/>
          <w:szCs w:val="21"/>
          <w:highlight w:val="none"/>
          <w:vertAlign w:val="subscript"/>
          <w:lang w:val="en-US" w:eastAsia="zh-CN"/>
        </w:rPr>
        <w:t>36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  <w:t>H</w:t>
      </w:r>
      <w:r>
        <w:rPr>
          <w:rFonts w:hint="eastAsia" w:hAnsi="宋体" w:eastAsia="宋体" w:cs="宋体"/>
          <w:i w:val="0"/>
          <w:iCs w:val="0"/>
          <w:color w:val="auto"/>
          <w:sz w:val="21"/>
          <w:szCs w:val="21"/>
          <w:highlight w:val="none"/>
          <w:vertAlign w:val="subscript"/>
          <w:lang w:val="en-US" w:eastAsia="zh-CN"/>
        </w:rPr>
        <w:t>48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  <w:t>N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  <w:vertAlign w:val="subscript"/>
        </w:rPr>
        <w:t>6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  <w:t>O</w:t>
      </w:r>
      <w:r>
        <w:rPr>
          <w:rFonts w:hint="eastAsia" w:hAnsi="宋体" w:eastAsia="宋体" w:cs="宋体"/>
          <w:i w:val="0"/>
          <w:iCs w:val="0"/>
          <w:color w:val="auto"/>
          <w:sz w:val="21"/>
          <w:szCs w:val="21"/>
          <w:highlight w:val="none"/>
          <w:vertAlign w:val="subscript"/>
          <w:lang w:val="en-US" w:eastAsia="zh-CN"/>
        </w:rPr>
        <w:t>7</w:t>
      </w:r>
    </w:p>
    <w:p>
      <w:pPr>
        <w:pStyle w:val="172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pacing w:val="0"/>
          <w:sz w:val="21"/>
          <w:szCs w:val="21"/>
          <w:highlight w:val="none"/>
          <w:lang w:val="en-US" w:eastAsia="zh-CN"/>
        </w:rPr>
        <w:t>CAS号：</w:t>
      </w:r>
      <w:r>
        <w:rPr>
          <w:rStyle w:val="120"/>
          <w:rFonts w:hint="eastAsia" w:ascii="宋体" w:hAnsi="宋体" w:eastAsia="宋体" w:cs="宋体"/>
          <w:i w:val="0"/>
          <w:color w:val="auto"/>
          <w:sz w:val="21"/>
          <w:szCs w:val="21"/>
          <w:highlight w:val="none"/>
        </w:rPr>
        <w:t>161258-30-6</w:t>
      </w:r>
    </w:p>
    <w:p>
      <w:pPr>
        <w:pStyle w:val="172"/>
        <w:numPr>
          <w:ilvl w:val="0"/>
          <w:numId w:val="0"/>
        </w:numPr>
        <w:ind w:left="420" w:leftChars="0"/>
        <w:rPr>
          <w:rFonts w:hint="default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pacing w:val="0"/>
          <w:sz w:val="21"/>
          <w:szCs w:val="21"/>
          <w:highlight w:val="none"/>
          <w:lang w:val="en-US" w:eastAsia="zh-CN"/>
        </w:rPr>
        <w:t>相对分子质量：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676.8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0</w:t>
      </w:r>
    </w:p>
    <w:p>
      <w:pPr>
        <w:pStyle w:val="172"/>
        <w:numPr>
          <w:ilvl w:val="0"/>
          <w:numId w:val="0"/>
        </w:numPr>
        <w:ind w:left="420" w:leftChars="0"/>
        <w:rPr>
          <w:rFonts w:hint="eastAsia" w:hAnsi="宋体"/>
          <w:color w:val="auto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hAnsi="宋体"/>
          <w:color w:val="auto"/>
          <w:spacing w:val="0"/>
          <w:sz w:val="21"/>
          <w:szCs w:val="21"/>
          <w:highlight w:val="none"/>
          <w:lang w:val="en-US" w:eastAsia="zh-CN"/>
        </w:rPr>
        <w:t>化学结构式：</w:t>
      </w:r>
    </w:p>
    <w:p>
      <w:pPr>
        <w:pStyle w:val="172"/>
        <w:numPr>
          <w:ilvl w:val="0"/>
          <w:numId w:val="0"/>
        </w:numPr>
        <w:ind w:left="420" w:leftChars="0"/>
        <w:jc w:val="center"/>
        <w:rPr>
          <w:color w:val="auto"/>
          <w:spacing w:val="0"/>
          <w:highlight w:val="none"/>
        </w:rPr>
      </w:pPr>
      <w:r>
        <w:rPr>
          <w:color w:val="auto"/>
          <w:highlight w:val="none"/>
        </w:rPr>
        <w:object>
          <v:shape id="_x0000_i1025" o:spt="75" type="#_x0000_t75" style="height:57.1pt;width:175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ChemDraw.Document.6.0" ShapeID="_x0000_i1025" DrawAspect="Content" ObjectID="_1468075725" r:id="rId14">
            <o:LockedField>false</o:LockedField>
          </o:OLEObject>
        </w:object>
      </w:r>
    </w:p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</w:rPr>
      </w:pPr>
      <w:bookmarkStart w:id="32" w:name="_Toc225940076"/>
      <w:bookmarkEnd w:id="32"/>
      <w:bookmarkStart w:id="33" w:name="_Toc225940272"/>
      <w:bookmarkStart w:id="34" w:name="_Toc225940334"/>
      <w:bookmarkStart w:id="35" w:name="_Toc225940114"/>
      <w:bookmarkStart w:id="36" w:name="_Toc225940359"/>
      <w:bookmarkStart w:id="37" w:name="_Toc224443030"/>
      <w:bookmarkStart w:id="38" w:name="_Toc225940564"/>
      <w:r>
        <w:rPr>
          <w:rFonts w:hint="eastAsia"/>
          <w:color w:val="auto"/>
          <w:spacing w:val="0"/>
          <w:highlight w:val="none"/>
        </w:rPr>
        <w:t xml:space="preserve">  </w:t>
      </w:r>
      <w:bookmarkEnd w:id="33"/>
      <w:bookmarkEnd w:id="34"/>
      <w:bookmarkEnd w:id="35"/>
      <w:bookmarkEnd w:id="36"/>
      <w:bookmarkEnd w:id="37"/>
      <w:bookmarkEnd w:id="38"/>
      <w:r>
        <w:rPr>
          <w:rFonts w:hint="eastAsia"/>
          <w:color w:val="auto"/>
          <w:spacing w:val="0"/>
          <w:highlight w:val="none"/>
          <w:lang w:val="en-US" w:eastAsia="zh-CN"/>
        </w:rPr>
        <w:t>技术要求</w:t>
      </w:r>
    </w:p>
    <w:p>
      <w:pPr>
        <w:pStyle w:val="14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firstLine="0" w:firstLineChars="0"/>
        <w:textAlignment w:val="auto"/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感官、理化指标</w:t>
      </w:r>
    </w:p>
    <w:p>
      <w:pPr>
        <w:pStyle w:val="143"/>
        <w:ind w:firstLine="42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感官、理化指标详见表1。</w:t>
      </w:r>
    </w:p>
    <w:p>
      <w:pPr>
        <w:pStyle w:val="284"/>
        <w:spacing w:before="156" w:beforeLines="50" w:after="156" w:afterLines="5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表1</w:t>
      </w:r>
      <w:r>
        <w:rPr>
          <w:rFonts w:hint="eastAsia"/>
          <w:color w:val="auto"/>
          <w:highlight w:val="none"/>
        </w:rPr>
        <w:t xml:space="preserve">化妆品用原料 </w:t>
      </w:r>
      <w:r>
        <w:rPr>
          <w:rFonts w:hint="eastAsia"/>
          <w:color w:val="auto"/>
          <w:highlight w:val="none"/>
          <w:lang w:val="en-US" w:eastAsia="zh-CN"/>
        </w:rPr>
        <w:t>六肽-11</w:t>
      </w:r>
      <w:r>
        <w:rPr>
          <w:rFonts w:hint="eastAsia" w:hAnsi="宋体" w:cs="宋体"/>
          <w:color w:val="auto"/>
          <w:szCs w:val="21"/>
          <w:highlight w:val="none"/>
          <w:lang w:val="en-US" w:eastAsia="zh-CN"/>
        </w:rPr>
        <w:t>感官、理化</w:t>
      </w:r>
      <w:r>
        <w:rPr>
          <w:rFonts w:hint="eastAsia" w:hAnsi="宋体" w:cs="宋体"/>
          <w:color w:val="auto"/>
          <w:szCs w:val="21"/>
          <w:highlight w:val="none"/>
        </w:rPr>
        <w:t>指标</w:t>
      </w:r>
    </w:p>
    <w:tbl>
      <w:tblPr>
        <w:tblStyle w:val="7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2200"/>
        <w:gridCol w:w="52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9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项目</w:t>
            </w:r>
          </w:p>
        </w:tc>
        <w:tc>
          <w:tcPr>
            <w:tcW w:w="5200" w:type="dxa"/>
            <w:shd w:val="clear" w:color="auto" w:fill="auto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要求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09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感官指标</w:t>
            </w:r>
          </w:p>
        </w:tc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性状</w:t>
            </w:r>
          </w:p>
        </w:tc>
        <w:tc>
          <w:tcPr>
            <w:tcW w:w="5200" w:type="dxa"/>
            <w:shd w:val="clear" w:color="auto" w:fill="auto"/>
            <w:vAlign w:val="center"/>
          </w:tcPr>
          <w:p>
            <w:pPr>
              <w:ind w:left="-210" w:leftChars="-100" w:right="-210" w:rightChars="-100"/>
              <w:jc w:val="center"/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sz w:val="18"/>
                <w:szCs w:val="18"/>
                <w:highlight w:val="none"/>
                <w:shd w:val="clear" w:color="auto" w:fill="FFFFFF"/>
                <w:lang w:val="en-US" w:eastAsia="zh-CN"/>
              </w:rPr>
              <w:t>白色或类白色粉末，轻微特征性气味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理化指标</w:t>
            </w:r>
          </w:p>
        </w:tc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鉴别</w:t>
            </w:r>
          </w:p>
        </w:tc>
        <w:tc>
          <w:tcPr>
            <w:tcW w:w="5200" w:type="dxa"/>
            <w:shd w:val="clear" w:color="auto" w:fill="auto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color="auto" w:fill="FFFFFF"/>
              </w:rPr>
              <w:t>供试品溶液主峰的保留时间应与对照品溶液主峰的保留时间一致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溶解度（水）</w:t>
            </w:r>
          </w:p>
        </w:tc>
        <w:tc>
          <w:tcPr>
            <w:tcW w:w="5200" w:type="dxa"/>
            <w:shd w:val="clear" w:color="auto" w:fill="auto"/>
            <w:vAlign w:val="center"/>
          </w:tcPr>
          <w:p>
            <w:pPr>
              <w:ind w:left="-210" w:leftChars="-100" w:right="-210" w:rightChars="-100"/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color="auto" w:fill="FFFFFF"/>
                <w:lang w:val="en-US" w:eastAsia="zh-CN"/>
              </w:rPr>
              <w:t>易溶于水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比旋度（20 ℃）</w:t>
            </w:r>
          </w:p>
        </w:tc>
        <w:tc>
          <w:tcPr>
            <w:tcW w:w="5200" w:type="dxa"/>
            <w:shd w:val="clear" w:color="auto" w:fill="auto"/>
            <w:vAlign w:val="center"/>
          </w:tcPr>
          <w:p>
            <w:pPr>
              <w:ind w:left="-210" w:leftChars="-100" w:right="-210" w:rightChars="-10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126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.0°～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146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.0°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pH值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  <w:lang w:val="en-US" w:eastAsia="zh-CN"/>
              </w:rPr>
              <w:t>(1 mg/ml,水溶液，25 ℃）</w:t>
            </w:r>
          </w:p>
        </w:tc>
        <w:tc>
          <w:tcPr>
            <w:tcW w:w="5200" w:type="dxa"/>
            <w:shd w:val="clear" w:color="auto" w:fill="auto"/>
            <w:vAlign w:val="center"/>
          </w:tcPr>
          <w:p>
            <w:pPr>
              <w:ind w:left="-210" w:leftChars="-100" w:right="-210" w:rightChars="-100"/>
              <w:jc w:val="center"/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  <w:lang w:val="en-US" w:eastAsia="zh-CN"/>
              </w:rPr>
              <w:t>3.5</w:t>
            </w: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  <w:lang w:val="en-US" w:eastAsia="zh-CN"/>
              </w:rPr>
              <w:t>5.5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水分/%</w:t>
            </w:r>
          </w:p>
        </w:tc>
        <w:tc>
          <w:tcPr>
            <w:tcW w:w="52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left="-210" w:leftChars="-100" w:right="-210" w:rightChars="-100"/>
              <w:jc w:val="center"/>
              <w:textAlignment w:val="auto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  <w:lang w:val="en-US" w:eastAsia="zh-CN"/>
              </w:rPr>
              <w:t>≤7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</w:rPr>
              <w:t>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含量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/%</w:t>
            </w:r>
          </w:p>
        </w:tc>
        <w:tc>
          <w:tcPr>
            <w:tcW w:w="52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left="-210" w:leftChars="-100" w:right="-210" w:rightChars="-100"/>
              <w:jc w:val="center"/>
              <w:textAlignment w:val="auto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</w:rPr>
              <w:t>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醋酸含量/%</w:t>
            </w:r>
          </w:p>
        </w:tc>
        <w:tc>
          <w:tcPr>
            <w:tcW w:w="52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left="-210" w:leftChars="-100" w:right="-210" w:rightChars="-10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  <w:lang w:val="en-US" w:eastAsia="zh-CN"/>
              </w:rPr>
              <w:t>≤</w:t>
            </w:r>
            <w:r>
              <w:rPr>
                <w:rFonts w:hint="eastAsia" w:ascii="宋体" w:hAnsi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  <w:lang w:val="en-US" w:eastAsia="zh-CN"/>
              </w:rPr>
              <w:t>3.0</w:t>
            </w:r>
          </w:p>
        </w:tc>
      </w:tr>
    </w:tbl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微生物及有害物质指标</w:t>
      </w:r>
    </w:p>
    <w:p>
      <w:pPr>
        <w:pStyle w:val="14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shd w:val="clear" w:color="auto" w:fill="FFFF00"/>
          <w:lang w:val="en-US" w:eastAsia="zh-CN"/>
        </w:rPr>
      </w:pP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微生物及有害物质指标详见表2。</w:t>
      </w:r>
    </w:p>
    <w:p>
      <w:pPr>
        <w:pStyle w:val="143"/>
        <w:shd w:val="clear" w:color="auto" w:fill="auto"/>
        <w:jc w:val="center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 xml:space="preserve">表2 </w:t>
      </w:r>
      <w:r>
        <w:rPr>
          <w:rFonts w:hint="eastAsia" w:ascii="黑体" w:hAnsi="黑体" w:eastAsia="黑体" w:cs="黑体"/>
          <w:color w:val="auto"/>
          <w:szCs w:val="21"/>
          <w:highlight w:val="none"/>
          <w:shd w:val="clear" w:color="auto" w:fill="auto"/>
        </w:rPr>
        <w:t>化妆品用原料 六肽-11</w:t>
      </w:r>
      <w:r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微生物及有害物质指标</w:t>
      </w:r>
    </w:p>
    <w:tbl>
      <w:tblPr>
        <w:tblStyle w:val="7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4"/>
        <w:gridCol w:w="3246"/>
        <w:gridCol w:w="369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476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项目</w:t>
            </w:r>
          </w:p>
        </w:tc>
        <w:tc>
          <w:tcPr>
            <w:tcW w:w="36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要求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微生物及有害物质指标</w:t>
            </w: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菌落总数/（CFU/g）</w:t>
            </w:r>
          </w:p>
        </w:tc>
        <w:tc>
          <w:tcPr>
            <w:tcW w:w="36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≤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霉菌和酵母菌总数/（CFU/g）</w:t>
            </w:r>
          </w:p>
        </w:tc>
        <w:tc>
          <w:tcPr>
            <w:tcW w:w="36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≤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乙腈/（mg/kg）</w:t>
            </w:r>
          </w:p>
        </w:tc>
        <w:tc>
          <w:tcPr>
            <w:tcW w:w="36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≤200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铅/（mg/kg）</w:t>
            </w:r>
          </w:p>
        </w:tc>
        <w:tc>
          <w:tcPr>
            <w:tcW w:w="36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≤10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镉/（mg/kg）</w:t>
            </w:r>
          </w:p>
        </w:tc>
        <w:tc>
          <w:tcPr>
            <w:tcW w:w="36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≤5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砷/（mg/kg）</w:t>
            </w:r>
          </w:p>
        </w:tc>
        <w:tc>
          <w:tcPr>
            <w:tcW w:w="36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≤2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汞/（mg/kg）</w:t>
            </w:r>
          </w:p>
        </w:tc>
        <w:tc>
          <w:tcPr>
            <w:tcW w:w="36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≤1</w:t>
            </w:r>
          </w:p>
        </w:tc>
      </w:tr>
    </w:tbl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color w:val="auto"/>
          <w:spacing w:val="0"/>
          <w:highlight w:val="none"/>
          <w:lang w:val="en-US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试验方法</w:t>
      </w:r>
    </w:p>
    <w:p>
      <w:pPr>
        <w:keepNext w:val="0"/>
        <w:keepLines w:val="0"/>
        <w:widowControl/>
        <w:suppressLineNumbers w:val="0"/>
        <w:ind w:firstLine="420"/>
        <w:jc w:val="left"/>
        <w:rPr>
          <w:rFonts w:hint="eastAsia" w:ascii="宋体" w:hAnsi="宋体" w:eastAsia="宋体" w:cs="宋体"/>
          <w:color w:val="auto"/>
          <w:spacing w:val="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pacing w:val="0"/>
          <w:highlight w:val="none"/>
          <w:lang w:val="en-US" w:eastAsia="zh-CN"/>
        </w:rPr>
        <w:t>本标准所用试剂和水，除非另有规定，应使用分析纯（AR）和</w:t>
      </w:r>
      <w:r>
        <w:rPr>
          <w:rFonts w:hint="eastAsia" w:ascii="宋体" w:hAnsi="宋体" w:eastAsia="宋体" w:cs="宋体"/>
          <w:color w:val="auto"/>
          <w:spacing w:val="0"/>
          <w:kern w:val="0"/>
          <w:sz w:val="21"/>
          <w:szCs w:val="21"/>
          <w:highlight w:val="none"/>
          <w:lang w:val="en-US" w:eastAsia="zh-CN" w:bidi="ar"/>
        </w:rPr>
        <w:t>符合GB/T 6682规定的三级水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pacing w:val="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和《中华人民共和国药典》2020年版规定的纯化水</w:t>
      </w:r>
      <w:r>
        <w:rPr>
          <w:rFonts w:hint="eastAsia" w:ascii="宋体" w:hAnsi="宋体" w:eastAsia="宋体" w:cs="宋体"/>
          <w:color w:val="auto"/>
          <w:spacing w:val="0"/>
          <w:kern w:val="0"/>
          <w:sz w:val="21"/>
          <w:szCs w:val="21"/>
          <w:highlight w:val="none"/>
          <w:lang w:val="en-US" w:eastAsia="zh-CN" w:bidi="ar"/>
        </w:rPr>
        <w:t>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性状</w:t>
      </w:r>
    </w:p>
    <w:p>
      <w:pPr>
        <w:pStyle w:val="14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20" w:firstLineChars="200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取供试品适量，在室温和非阳光直射下，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目测</w:t>
      </w: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供试品的颜色和状态，嗅其气味。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bookmarkStart w:id="39" w:name="_Toc225940279"/>
      <w:bookmarkStart w:id="40" w:name="_Toc225940151"/>
      <w:bookmarkStart w:id="41" w:name="_Toc236566535"/>
      <w:bookmarkStart w:id="42" w:name="_Toc236566482"/>
      <w:r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鉴别</w:t>
      </w:r>
      <w:bookmarkStart w:id="53" w:name="_GoBack"/>
      <w:bookmarkEnd w:id="53"/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  <w:t>试剂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a）</w:t>
      </w:r>
      <w:r>
        <w:rPr>
          <w:rFonts w:hint="eastAsia" w:ascii="宋体" w:hAnsi="宋体" w:eastAsia="宋体" w:cs="宋体"/>
          <w:color w:val="auto"/>
          <w:highlight w:val="none"/>
        </w:rPr>
        <w:t>乙腈：色谱纯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三氟乙酸：色谱纯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水：GB/T 6682规定的一级水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269"/>
        <w:ind w:firstLine="420"/>
        <w:rPr>
          <w:color w:val="auto"/>
          <w:highlight w:val="none"/>
          <w:u w:val="none"/>
        </w:rPr>
      </w:pPr>
      <w:r>
        <w:rPr>
          <w:rFonts w:hint="eastAsia"/>
          <w:color w:val="auto"/>
          <w:highlight w:val="none"/>
          <w:lang w:val="en-US" w:eastAsia="zh-CN"/>
        </w:rPr>
        <w:t>d）</w:t>
      </w:r>
      <w:r>
        <w:rPr>
          <w:rFonts w:hint="eastAsia"/>
          <w:color w:val="auto"/>
          <w:highlight w:val="none"/>
          <w:lang w:eastAsia="zh-CN"/>
        </w:rPr>
        <w:t>六肽-11</w:t>
      </w:r>
      <w:r>
        <w:rPr>
          <w:rFonts w:hint="eastAsia"/>
          <w:color w:val="auto"/>
          <w:highlight w:val="none"/>
          <w:lang w:val="en-US" w:eastAsia="zh-CN"/>
        </w:rPr>
        <w:t>对照品</w:t>
      </w:r>
      <w:r>
        <w:rPr>
          <w:rFonts w:hint="eastAsia"/>
          <w:color w:val="auto"/>
          <w:highlight w:val="none"/>
          <w:lang w:eastAsia="zh-CN"/>
        </w:rPr>
        <w:t>：</w:t>
      </w:r>
      <w:r>
        <w:rPr>
          <w:rFonts w:hint="eastAsia"/>
          <w:color w:val="auto"/>
          <w:highlight w:val="none"/>
          <w:lang w:val="en-US" w:eastAsia="zh-CN"/>
        </w:rPr>
        <w:t>通过结构确证的六肽-11，纯度≥98%，用于定性鉴别</w:t>
      </w:r>
      <w:r>
        <w:rPr>
          <w:rFonts w:hint="eastAsia"/>
          <w:color w:val="auto"/>
          <w:highlight w:val="none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default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  <w:t>仪器和</w:t>
      </w:r>
      <w:r>
        <w:rPr>
          <w:rFonts w:hint="eastAsia" w:hAnsi="黑体" w:cs="黑体"/>
          <w:color w:val="auto"/>
          <w:spacing w:val="0"/>
          <w:highlight w:val="none"/>
          <w:u w:val="none"/>
          <w:lang w:val="en-US" w:eastAsia="zh-CN"/>
        </w:rPr>
        <w:t>材料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default" w:ascii="宋体" w:hAnsi="宋体" w:eastAsia="宋体" w:cs="宋体"/>
          <w:color w:val="auto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  <w:t>a）</w:t>
      </w:r>
      <w:r>
        <w:rPr>
          <w:rFonts w:hint="eastAsia" w:ascii="宋体" w:hAnsi="宋体" w:eastAsia="宋体" w:cs="宋体"/>
          <w:color w:val="auto"/>
          <w:highlight w:val="none"/>
        </w:rPr>
        <w:t>高效液相色谱仪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紫外检测器；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  <w:t>b）</w:t>
      </w:r>
      <w:r>
        <w:rPr>
          <w:rFonts w:hint="eastAsia" w:ascii="宋体" w:hAnsi="宋体" w:eastAsia="宋体" w:cs="宋体"/>
          <w:color w:val="auto"/>
          <w:highlight w:val="none"/>
          <w:u w:val="none"/>
        </w:rPr>
        <w:t>电子天平：精度0.1 mg</w:t>
      </w:r>
      <w:r>
        <w:rPr>
          <w:rFonts w:hint="eastAsia" w:ascii="宋体" w:hAnsi="宋体" w:eastAsia="宋体" w:cs="宋体"/>
          <w:color w:val="auto"/>
          <w:highlight w:val="none"/>
          <w:u w:val="none"/>
          <w:lang w:eastAsia="zh-CN"/>
        </w:rPr>
        <w:t>；</w:t>
      </w:r>
    </w:p>
    <w:p>
      <w:pPr>
        <w:pStyle w:val="143"/>
        <w:rPr>
          <w:rFonts w:hint="eastAsia" w:hAnsi="宋体" w:cs="宋体"/>
          <w:color w:val="auto"/>
          <w:highlight w:val="none"/>
          <w:u w:val="none"/>
          <w:lang w:val="en-US" w:eastAsia="zh-CN"/>
        </w:rPr>
      </w:pPr>
      <w:r>
        <w:rPr>
          <w:rFonts w:hint="eastAsia" w:hAnsi="宋体" w:cs="宋体"/>
          <w:color w:val="auto"/>
          <w:highlight w:val="none"/>
          <w:u w:val="none"/>
          <w:lang w:val="en-US" w:eastAsia="zh-CN"/>
        </w:rPr>
        <w:t>c）10 ml容量瓶；</w:t>
      </w:r>
    </w:p>
    <w:p>
      <w:pPr>
        <w:pStyle w:val="143"/>
        <w:rPr>
          <w:rFonts w:hint="eastAsia" w:hAnsi="宋体" w:cs="宋体"/>
          <w:color w:val="auto"/>
          <w:highlight w:val="none"/>
          <w:u w:val="none"/>
          <w:lang w:val="en-US" w:eastAsia="zh-CN"/>
        </w:rPr>
      </w:pPr>
      <w:r>
        <w:rPr>
          <w:rFonts w:hint="eastAsia" w:hAnsi="宋体" w:cs="宋体"/>
          <w:color w:val="auto"/>
          <w:highlight w:val="none"/>
          <w:u w:val="none"/>
          <w:lang w:val="en-US" w:eastAsia="zh-CN"/>
        </w:rPr>
        <w:t>d）1 ml刻度吸管；</w:t>
      </w:r>
    </w:p>
    <w:p>
      <w:pPr>
        <w:pStyle w:val="143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e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hAnsi="宋体" w:cs="宋体"/>
          <w:color w:val="auto"/>
          <w:highlight w:val="none"/>
          <w:lang w:val="en-US" w:eastAsia="zh-CN"/>
        </w:rPr>
        <w:t>抽滤装置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超声震荡仪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43"/>
        <w:rPr>
          <w:rFonts w:hint="eastAsia" w:hAnsi="宋体" w:cs="宋体"/>
          <w:color w:val="auto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g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0.45</w:t>
      </w:r>
      <w:r>
        <w:rPr>
          <w:rFonts w:hint="eastAsia" w:hAnsi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m滤膜（水相）</w:t>
      </w:r>
      <w:r>
        <w:rPr>
          <w:rFonts w:hint="eastAsia" w:hAnsi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色谱条件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a）</w:t>
      </w:r>
      <w:r>
        <w:rPr>
          <w:rFonts w:hint="eastAsia" w:ascii="宋体" w:hAnsi="宋体" w:eastAsia="宋体" w:cs="宋体"/>
          <w:color w:val="auto"/>
          <w:highlight w:val="none"/>
        </w:rPr>
        <w:t>色谱柱：C18色谱柱（4.6 mm×250 mm，粒径5 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m</w:t>
      </w:r>
      <w:r>
        <w:rPr>
          <w:rFonts w:hint="eastAsia" w:ascii="宋体" w:hAnsi="宋体" w:eastAsia="宋体" w:cs="宋体"/>
          <w:color w:val="auto"/>
          <w:highlight w:val="none"/>
        </w:rPr>
        <w:t>）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流动相A：含0.1%三氟乙酸的水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溶液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流动相B：含0.1%三氟乙酸的乙腈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溶液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流速：1.0 m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/min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e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进样量：10 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柱温：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25</w:t>
      </w:r>
      <w:r>
        <w:rPr>
          <w:rFonts w:hint="eastAsia" w:ascii="宋体" w:hAnsi="宋体" w:eastAsia="宋体" w:cs="宋体"/>
          <w:color w:val="auto"/>
          <w:highlight w:val="none"/>
        </w:rPr>
        <w:t> ℃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g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检测波长：220 nm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h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流动相梯度洗脱程序见表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>
      <w:pPr>
        <w:pStyle w:val="281"/>
        <w:numPr>
          <w:ilvl w:val="0"/>
          <w:numId w:val="0"/>
        </w:numPr>
        <w:spacing w:before="120" w:after="120"/>
        <w:ind w:leftChars="0"/>
        <w:rPr>
          <w:rFonts w:hint="eastAsia" w:hAnsi="黑体" w:cs="黑体"/>
          <w:color w:val="auto"/>
          <w:szCs w:val="21"/>
          <w:highlight w:val="none"/>
          <w:shd w:val="clear" w:color="auto" w:fill="auto"/>
        </w:rPr>
      </w:pPr>
      <w:r>
        <w:rPr>
          <w:rFonts w:hint="eastAsia" w:hAnsi="黑体" w:cs="黑体"/>
          <w:color w:val="auto"/>
          <w:szCs w:val="21"/>
          <w:highlight w:val="none"/>
          <w:shd w:val="clear" w:color="auto" w:fill="auto"/>
          <w:lang w:val="en-US" w:eastAsia="zh-CN"/>
        </w:rPr>
        <w:t>表3流动相</w:t>
      </w:r>
      <w:r>
        <w:rPr>
          <w:rFonts w:hint="eastAsia" w:hAnsi="黑体" w:cs="黑体"/>
          <w:color w:val="auto"/>
          <w:szCs w:val="21"/>
          <w:highlight w:val="none"/>
          <w:shd w:val="clear" w:color="auto" w:fill="auto"/>
        </w:rPr>
        <w:t>梯度洗脱程序</w:t>
      </w:r>
    </w:p>
    <w:tbl>
      <w:tblPr>
        <w:tblStyle w:val="28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9"/>
        <w:gridCol w:w="3118"/>
        <w:gridCol w:w="2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9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时间</w:t>
            </w:r>
          </w:p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min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流动相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A</w:t>
            </w:r>
          </w:p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%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流动相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9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0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75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9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20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55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9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20.1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9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25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9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27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75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9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35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75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25</w:t>
            </w:r>
          </w:p>
        </w:tc>
      </w:tr>
    </w:tbl>
    <w:p>
      <w:pPr>
        <w:pStyle w:val="269"/>
        <w:ind w:firstLine="420"/>
        <w:rPr>
          <w:color w:val="auto"/>
          <w:highlight w:val="none"/>
        </w:rPr>
      </w:pP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溶液配制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流动相A（含0.1 %三氟乙酸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highlight w:val="none"/>
        </w:rPr>
        <w:t>水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溶液</w:t>
      </w:r>
      <w:r>
        <w:rPr>
          <w:rFonts w:hint="eastAsia" w:ascii="宋体" w:hAnsi="宋体" w:eastAsia="宋体" w:cs="宋体"/>
          <w:color w:val="auto"/>
          <w:highlight w:val="none"/>
        </w:rPr>
        <w:t>）：取三氟乙酸1 m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，用水稀释至1 000 m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流动相B（含0.1 %三氟乙酸的乙腈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溶液</w:t>
      </w:r>
      <w:r>
        <w:rPr>
          <w:rFonts w:hint="eastAsia" w:ascii="宋体" w:hAnsi="宋体" w:eastAsia="宋体" w:cs="宋体"/>
          <w:color w:val="auto"/>
          <w:highlight w:val="none"/>
        </w:rPr>
        <w:t>）：取三氟乙酸1 m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，用乙腈稀释至1 000 m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空白溶液（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含</w:t>
      </w:r>
      <w:r>
        <w:rPr>
          <w:rFonts w:hint="eastAsia" w:ascii="宋体" w:hAnsi="宋体" w:eastAsia="宋体" w:cs="宋体"/>
          <w:color w:val="auto"/>
          <w:highlight w:val="none"/>
        </w:rPr>
        <w:t>0.1 %三氟乙酸的水溶液）：同流动相A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供试品溶液的制备：称取供试品20 mg（精确至0.1 mg），置10 m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容量瓶中，加空白溶液溶解，并稀释至刻度，摇匀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highlight w:val="none"/>
        </w:rPr>
        <w:t>经0.45 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m</w:t>
      </w:r>
      <w:r>
        <w:rPr>
          <w:rFonts w:hint="eastAsia" w:ascii="宋体" w:hAnsi="宋体" w:eastAsia="宋体" w:cs="宋体"/>
          <w:color w:val="auto"/>
          <w:highlight w:val="none"/>
        </w:rPr>
        <w:t>微孔滤膜过滤，续滤液作为供试品溶液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43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  <w:lang w:val="en-US" w:eastAsia="zh-CN"/>
        </w:rPr>
        <w:t>e）</w:t>
      </w:r>
      <w:r>
        <w:rPr>
          <w:rFonts w:hint="eastAsia" w:ascii="宋体" w:hAnsi="宋体" w:eastAsia="宋体" w:cs="宋体"/>
          <w:color w:val="auto"/>
          <w:highlight w:val="none"/>
        </w:rPr>
        <w:t>对照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品</w:t>
      </w:r>
      <w:r>
        <w:rPr>
          <w:rFonts w:hint="eastAsia" w:ascii="宋体" w:hAnsi="宋体" w:eastAsia="宋体" w:cs="宋体"/>
          <w:color w:val="auto"/>
          <w:highlight w:val="none"/>
        </w:rPr>
        <w:t>溶液的制备</w:t>
      </w:r>
      <w:r>
        <w:rPr>
          <w:rFonts w:hint="eastAsia" w:hAnsi="宋体" w:cs="宋体"/>
          <w:color w:val="auto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highlight w:val="none"/>
        </w:rPr>
        <w:t>称取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六肽-11</w:t>
      </w:r>
      <w:r>
        <w:rPr>
          <w:rFonts w:hint="eastAsia" w:hAnsi="宋体" w:cs="宋体"/>
          <w:color w:val="auto"/>
          <w:highlight w:val="none"/>
          <w:lang w:val="en-US" w:eastAsia="zh-CN"/>
        </w:rPr>
        <w:t>对照</w:t>
      </w:r>
      <w:r>
        <w:rPr>
          <w:rFonts w:hint="eastAsia"/>
          <w:color w:val="auto"/>
          <w:highlight w:val="none"/>
          <w:lang w:val="en-US" w:eastAsia="zh-CN"/>
        </w:rPr>
        <w:t>品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highlight w:val="none"/>
        </w:rPr>
        <w:t> mg（精确至0.1 mg），置于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highlight w:val="none"/>
        </w:rPr>
        <w:t>0 m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容量瓶中，用空白溶液溶解，并稀释至刻度，摇匀</w:t>
      </w:r>
      <w:r>
        <w:rPr>
          <w:rFonts w:hint="eastAsia" w:hAnsi="宋体" w:cs="宋体"/>
          <w:color w:val="auto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highlight w:val="none"/>
        </w:rPr>
        <w:t>经0.45 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m</w:t>
      </w:r>
      <w:r>
        <w:rPr>
          <w:rFonts w:hint="eastAsia" w:ascii="宋体" w:hAnsi="宋体" w:eastAsia="宋体" w:cs="宋体"/>
          <w:color w:val="auto"/>
          <w:highlight w:val="none"/>
        </w:rPr>
        <w:t>微孔滤膜过滤，续滤液作为对照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品</w:t>
      </w:r>
      <w:r>
        <w:rPr>
          <w:rFonts w:hint="eastAsia" w:ascii="宋体" w:hAnsi="宋体" w:eastAsia="宋体" w:cs="宋体"/>
          <w:color w:val="auto"/>
          <w:highlight w:val="none"/>
        </w:rPr>
        <w:t>溶液。</w:t>
      </w:r>
    </w:p>
    <w:p>
      <w:pPr>
        <w:pStyle w:val="143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操作过程</w:t>
      </w:r>
    </w:p>
    <w:p>
      <w:pPr>
        <w:pStyle w:val="147"/>
        <w:numPr>
          <w:ilvl w:val="0"/>
          <w:numId w:val="0"/>
        </w:numPr>
        <w:bidi w:val="0"/>
        <w:ind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高效液相色谱仪稳定后，精密量取对照品溶液、供试品溶液各10 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l，依次进样</w:t>
      </w:r>
      <w:r>
        <w:rPr>
          <w:rFonts w:hint="eastAsia"/>
          <w:color w:val="auto"/>
          <w:highlight w:val="none"/>
          <w:lang w:val="en-US" w:eastAsia="zh-CN"/>
        </w:rPr>
        <w:t>，</w:t>
      </w:r>
      <w:r>
        <w:rPr>
          <w:rFonts w:hint="eastAsia" w:ascii="宋体" w:eastAsia="宋体"/>
          <w:color w:val="auto"/>
          <w:highlight w:val="none"/>
        </w:rPr>
        <w:t>记录色谱图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highlight w:val="none"/>
        </w:rPr>
        <w:t>供试品溶液的主峰保留时间应与对照品溶液的主峰保留时间一致。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</w:rPr>
      </w:pPr>
      <w:r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溶解</w:t>
      </w:r>
      <w:r>
        <w:rPr>
          <w:rFonts w:hint="eastAsia" w:ascii="黑体" w:hAnsi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度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  <w:t>试剂</w:t>
      </w:r>
    </w:p>
    <w:p>
      <w:pPr>
        <w:pStyle w:val="269"/>
        <w:ind w:firstLine="420"/>
        <w:rPr>
          <w:color w:val="auto"/>
          <w:highlight w:val="none"/>
          <w:u w:val="none"/>
        </w:rPr>
      </w:pPr>
      <w:r>
        <w:rPr>
          <w:rFonts w:hint="eastAsia"/>
          <w:color w:val="auto"/>
          <w:highlight w:val="none"/>
          <w:lang w:val="en-US" w:eastAsia="zh-CN"/>
        </w:rPr>
        <w:t>水</w:t>
      </w:r>
      <w:r>
        <w:rPr>
          <w:rFonts w:hint="eastAsia"/>
          <w:color w:val="auto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0"/>
          <w:kern w:val="0"/>
          <w:sz w:val="21"/>
          <w:szCs w:val="21"/>
          <w:highlight w:val="none"/>
          <w:lang w:val="en-US" w:eastAsia="zh-CN" w:bidi="ar"/>
        </w:rPr>
        <w:t>符合GB/T 6682规定的三级水</w:t>
      </w:r>
      <w:r>
        <w:rPr>
          <w:rFonts w:hint="eastAsia"/>
          <w:color w:val="auto"/>
          <w:highlight w:val="none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  <w:t>仪器和</w:t>
      </w:r>
      <w:r>
        <w:rPr>
          <w:rFonts w:hint="eastAsia" w:hAnsi="黑体" w:cs="黑体"/>
          <w:color w:val="auto"/>
          <w:spacing w:val="0"/>
          <w:highlight w:val="none"/>
          <w:u w:val="none"/>
          <w:lang w:val="en-US" w:eastAsia="zh-CN"/>
        </w:rPr>
        <w:t>材料</w:t>
      </w:r>
    </w:p>
    <w:p>
      <w:pPr>
        <w:pStyle w:val="178"/>
        <w:numPr>
          <w:ilvl w:val="0"/>
          <w:numId w:val="27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  <w:t>电子天平：</w:t>
      </w:r>
      <w:r>
        <w:rPr>
          <w:rFonts w:hint="eastAsia" w:ascii="宋体" w:hAnsi="宋体" w:eastAsia="宋体" w:cs="宋体"/>
          <w:color w:val="auto"/>
          <w:highlight w:val="none"/>
          <w:u w:val="none"/>
        </w:rPr>
        <w:t>精度0.1 mg</w:t>
      </w:r>
      <w:r>
        <w:rPr>
          <w:rFonts w:hint="eastAsia" w:ascii="宋体" w:hAnsi="宋体" w:eastAsia="宋体" w:cs="宋体"/>
          <w:color w:val="auto"/>
          <w:highlight w:val="none"/>
          <w:u w:val="none"/>
          <w:lang w:eastAsia="zh-CN"/>
        </w:rPr>
        <w:t>；</w:t>
      </w:r>
    </w:p>
    <w:p>
      <w:pPr>
        <w:pStyle w:val="178"/>
        <w:numPr>
          <w:ilvl w:val="0"/>
          <w:numId w:val="27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  <w:t>ml具塞比色管</w:t>
      </w:r>
      <w:r>
        <w:rPr>
          <w:rFonts w:hint="eastAsia" w:ascii="宋体" w:hAnsi="宋体" w:eastAsia="宋体" w:cs="宋体"/>
          <w:color w:val="auto"/>
          <w:highlight w:val="none"/>
          <w:u w:val="none"/>
          <w:lang w:eastAsia="zh-CN"/>
        </w:rPr>
        <w:t>；</w:t>
      </w:r>
    </w:p>
    <w:p>
      <w:pPr>
        <w:pStyle w:val="143"/>
        <w:numPr>
          <w:ilvl w:val="0"/>
          <w:numId w:val="27"/>
        </w:numPr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/>
          <w:color w:val="auto"/>
          <w:highlight w:val="none"/>
          <w:lang w:val="en-US" w:eastAsia="zh-CN"/>
        </w:rPr>
        <w:t>ml量筒。</w:t>
      </w:r>
    </w:p>
    <w:p>
      <w:pPr>
        <w:pStyle w:val="178"/>
        <w:numPr>
          <w:ilvl w:val="0"/>
          <w:numId w:val="27"/>
        </w:numPr>
        <w:bidi w:val="0"/>
        <w:ind w:left="0" w:leftChars="0" w:firstLine="420" w:firstLineChars="200"/>
        <w:rPr>
          <w:rFonts w:hint="eastAsia"/>
          <w:lang w:eastAsia="zh-CN"/>
        </w:rPr>
      </w:pP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>研钵</w:t>
      </w:r>
      <w:r>
        <w:rPr>
          <w:rFonts w:hint="eastAsia" w:ascii="宋体" w:hAnsi="宋体" w:eastAsia="宋体" w:cs="宋体"/>
          <w:color w:val="auto"/>
          <w:highlight w:val="none"/>
          <w:u w:val="none"/>
          <w:lang w:eastAsia="zh-CN"/>
        </w:rPr>
        <w:t>；</w:t>
      </w:r>
    </w:p>
    <w:p>
      <w:pPr>
        <w:pStyle w:val="143"/>
        <w:numPr>
          <w:ilvl w:val="-1"/>
          <w:numId w:val="0"/>
        </w:numPr>
        <w:ind w:firstLine="420" w:firstLineChars="200"/>
        <w:rPr>
          <w:rFonts w:hint="eastAsia"/>
          <w:color w:val="auto"/>
          <w:highlight w:val="none"/>
        </w:rPr>
      </w:pPr>
      <w:r>
        <w:rPr>
          <w:rFonts w:hint="eastAsia"/>
          <w:lang w:val="en-US" w:eastAsia="zh-CN"/>
        </w:rPr>
        <w:t>e）温度计：</w:t>
      </w:r>
      <w:r>
        <w:rPr>
          <w:rFonts w:hint="eastAsia" w:hAnsi="Times New Roman" w:cs="Times New Roman"/>
          <w:color w:val="auto"/>
          <w:highlight w:val="none"/>
          <w:lang w:val="en-US" w:eastAsia="zh-CN"/>
        </w:rPr>
        <w:t>量程0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hAnsi="Times New Roman" w:cs="Times New Roman"/>
          <w:color w:val="auto"/>
          <w:highlight w:val="none"/>
          <w:lang w:val="en-US" w:eastAsia="zh-CN"/>
        </w:rPr>
        <w:t>℃</w:t>
      </w:r>
      <w:r>
        <w:rPr>
          <w:rFonts w:hint="eastAsia" w:ascii="宋体" w:hAnsi="Times New Roman" w:eastAsia="宋体" w:cs="Times New Roman"/>
          <w:color w:val="auto"/>
          <w:sz w:val="21"/>
          <w:szCs w:val="20"/>
          <w:highlight w:val="none"/>
        </w:rPr>
        <w:t>～</w:t>
      </w:r>
      <w:r>
        <w:rPr>
          <w:rFonts w:hint="eastAsia" w:ascii="宋体" w:hAnsi="Times New Roman" w:eastAsia="宋体" w:cs="Times New Roman"/>
          <w:color w:val="auto"/>
          <w:sz w:val="21"/>
          <w:szCs w:val="20"/>
          <w:highlight w:val="none"/>
          <w:lang w:val="en-US" w:eastAsia="zh-CN"/>
        </w:rPr>
        <w:t>100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Times New Roman" w:eastAsia="宋体" w:cs="Times New Roman"/>
          <w:color w:val="auto"/>
          <w:sz w:val="21"/>
          <w:szCs w:val="20"/>
          <w:highlight w:val="none"/>
          <w:lang w:val="en-US" w:eastAsia="zh-CN"/>
        </w:rPr>
        <w:t>℃，精度1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Times New Roman" w:eastAsia="宋体" w:cs="Times New Roman"/>
          <w:color w:val="auto"/>
          <w:sz w:val="21"/>
          <w:szCs w:val="20"/>
          <w:highlight w:val="none"/>
          <w:lang w:val="en-US" w:eastAsia="zh-CN"/>
        </w:rPr>
        <w:t>℃。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操作过程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cs="宋体"/>
          <w:color w:val="auto"/>
          <w:spacing w:val="0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按照《中华人民共和国药典》四部凡例（十五）进行检测，具体操作如下：</w:t>
      </w:r>
      <w:r>
        <w:rPr>
          <w:rFonts w:hint="eastAsia" w:ascii="宋体" w:hAnsi="宋体" w:cs="宋体"/>
          <w:color w:val="auto"/>
          <w:highlight w:val="none"/>
        </w:rPr>
        <w:t>称取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供试品</w:t>
      </w:r>
      <w:r>
        <w:rPr>
          <w:rFonts w:hint="eastAsia" w:ascii="宋体" w:hAnsi="宋体" w:cs="宋体"/>
          <w:color w:val="auto"/>
          <w:highlight w:val="none"/>
        </w:rPr>
        <w:t>0.5 g（精确至0.001 g），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置</w:t>
      </w:r>
      <w:r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  <w:t>具塞比色管</w:t>
      </w:r>
      <w:r>
        <w:rPr>
          <w:rFonts w:hint="eastAsia" w:ascii="宋体" w:hAnsi="宋体" w:cs="宋体"/>
          <w:color w:val="auto"/>
          <w:highlight w:val="none"/>
          <w:u w:val="none"/>
          <w:lang w:val="en-US" w:eastAsia="zh-CN"/>
        </w:rPr>
        <w:t>中，</w:t>
      </w:r>
      <w:r>
        <w:rPr>
          <w:rFonts w:hint="eastAsia" w:ascii="宋体" w:hAnsi="宋体" w:cs="宋体"/>
          <w:color w:val="auto"/>
          <w:highlight w:val="none"/>
        </w:rPr>
        <w:t>加入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4.</w:t>
      </w:r>
      <w:r>
        <w:rPr>
          <w:rFonts w:hint="eastAsia" w:ascii="宋体" w:hAnsi="宋体" w:cs="宋体"/>
          <w:color w:val="auto"/>
          <w:highlight w:val="none"/>
        </w:rPr>
        <w:t>5 m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cs="宋体"/>
          <w:color w:val="auto"/>
          <w:highlight w:val="none"/>
        </w:rPr>
        <w:t>温度为25 ℃±2 ℃的水，每隔5 min强力振摇30 s，30 min内应完全溶解，即无目视可见的溶质颗粒</w:t>
      </w:r>
      <w:r>
        <w:rPr>
          <w:rFonts w:hint="eastAsia" w:ascii="宋体" w:hAnsi="宋体" w:eastAsia="宋体" w:cs="宋体"/>
          <w:color w:val="auto"/>
          <w:spacing w:val="0"/>
          <w:kern w:val="0"/>
          <w:sz w:val="21"/>
          <w:szCs w:val="21"/>
          <w:highlight w:val="none"/>
          <w:lang w:val="en-US" w:eastAsia="zh-CN" w:bidi="ar"/>
        </w:rPr>
        <w:t>。</w:t>
      </w:r>
    </w:p>
    <w:bookmarkEnd w:id="39"/>
    <w:bookmarkEnd w:id="40"/>
    <w:bookmarkEnd w:id="41"/>
    <w:bookmarkEnd w:id="42"/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bookmarkStart w:id="43" w:name="_Toc225940280"/>
      <w:bookmarkStart w:id="44" w:name="_Toc225940157"/>
      <w:bookmarkStart w:id="45" w:name="_Toc236566483"/>
      <w:bookmarkStart w:id="46" w:name="_Toc236566536"/>
      <w:r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比旋度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  <w:t>试剂</w:t>
      </w:r>
    </w:p>
    <w:p>
      <w:pPr>
        <w:pStyle w:val="147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420" w:firstLineChars="20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 w:bidi="ar"/>
        </w:rPr>
        <w:t>水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纯化水</w:t>
      </w:r>
      <w:r>
        <w:rPr>
          <w:rFonts w:hint="eastAsia"/>
          <w:color w:val="auto"/>
          <w:highlight w:val="none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仪器和</w:t>
      </w: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材料</w:t>
      </w:r>
    </w:p>
    <w:p>
      <w:pPr>
        <w:pStyle w:val="178"/>
        <w:numPr>
          <w:ilvl w:val="0"/>
          <w:numId w:val="28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旋光仪：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</w:rPr>
        <w:t>钠光谱的D线（589.3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</w:rPr>
        <w:t>nm）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color w:val="auto"/>
          <w:highlight w:val="none"/>
        </w:rPr>
        <w:t>精度0.001°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b）</w:t>
      </w:r>
      <w:r>
        <w:rPr>
          <w:rFonts w:hint="eastAsia" w:ascii="宋体" w:hAnsi="宋体" w:eastAsia="宋体" w:cs="宋体"/>
          <w:color w:val="auto"/>
          <w:highlight w:val="none"/>
        </w:rPr>
        <w:t>电子天平：精度0.1 mg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c）25 ml容量瓶。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溶液配制</w:t>
      </w:r>
    </w:p>
    <w:p>
      <w:pPr>
        <w:pStyle w:val="269"/>
        <w:ind w:firstLine="42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供试品溶液制备：称取供试品0.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color w:val="auto"/>
          <w:highlight w:val="none"/>
        </w:rPr>
        <w:t> </w:t>
      </w:r>
      <w:r>
        <w:rPr>
          <w:rFonts w:hint="eastAsia"/>
          <w:color w:val="auto"/>
          <w:highlight w:val="none"/>
        </w:rPr>
        <w:t>g（精确至0.</w:t>
      </w:r>
      <w:r>
        <w:rPr>
          <w:color w:val="auto"/>
          <w:highlight w:val="none"/>
        </w:rPr>
        <w:t> </w:t>
      </w:r>
      <w:r>
        <w:rPr>
          <w:rFonts w:hint="eastAsia"/>
          <w:color w:val="auto"/>
          <w:highlight w:val="none"/>
        </w:rPr>
        <w:t>1</w:t>
      </w:r>
      <w:r>
        <w:rPr>
          <w:color w:val="auto"/>
          <w:highlight w:val="none"/>
        </w:rPr>
        <w:t> </w:t>
      </w:r>
      <w:r>
        <w:rPr>
          <w:rFonts w:hint="eastAsia"/>
          <w:color w:val="auto"/>
          <w:highlight w:val="none"/>
          <w:lang w:val="en-US" w:eastAsia="zh-CN"/>
        </w:rPr>
        <w:t>m</w:t>
      </w:r>
      <w:r>
        <w:rPr>
          <w:rFonts w:hint="eastAsia"/>
          <w:color w:val="auto"/>
          <w:highlight w:val="none"/>
        </w:rPr>
        <w:t>g），置</w:t>
      </w:r>
      <w:r>
        <w:rPr>
          <w:rFonts w:hint="eastAsia"/>
          <w:color w:val="auto"/>
          <w:highlight w:val="none"/>
          <w:lang w:val="en-US" w:eastAsia="zh-CN"/>
        </w:rPr>
        <w:t>于25 ml容量瓶</w:t>
      </w:r>
      <w:r>
        <w:rPr>
          <w:rFonts w:hint="eastAsia"/>
          <w:color w:val="auto"/>
          <w:highlight w:val="none"/>
        </w:rPr>
        <w:t>中，加水</w:t>
      </w:r>
      <w:r>
        <w:rPr>
          <w:rFonts w:hint="eastAsia"/>
          <w:color w:val="auto"/>
          <w:highlight w:val="none"/>
          <w:lang w:val="en-US" w:eastAsia="zh-CN"/>
        </w:rPr>
        <w:t>溶解，并稀释至刻度，摇匀</w:t>
      </w:r>
      <w:r>
        <w:rPr>
          <w:rFonts w:hint="eastAsia"/>
          <w:color w:val="auto"/>
          <w:highlight w:val="none"/>
        </w:rPr>
        <w:t>，</w:t>
      </w:r>
      <w:r>
        <w:rPr>
          <w:rFonts w:hint="eastAsia"/>
          <w:color w:val="auto"/>
          <w:highlight w:val="none"/>
          <w:lang w:val="en-US" w:eastAsia="zh-CN"/>
        </w:rPr>
        <w:t>作为</w:t>
      </w:r>
      <w:r>
        <w:rPr>
          <w:rFonts w:hint="eastAsia"/>
          <w:color w:val="auto"/>
          <w:highlight w:val="none"/>
        </w:rPr>
        <w:t>供试品溶液。</w:t>
      </w:r>
      <w:r>
        <w:rPr>
          <w:color w:val="auto"/>
          <w:spacing w:val="-3"/>
          <w:highlight w:val="none"/>
        </w:rPr>
        <w:t xml:space="preserve"> 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操作过程及计算</w:t>
      </w:r>
    </w:p>
    <w:p>
      <w:pPr>
        <w:pStyle w:val="269"/>
        <w:ind w:firstLine="420"/>
        <w:rPr>
          <w:color w:val="auto"/>
          <w:highlight w:val="none"/>
        </w:rPr>
      </w:pPr>
      <w:r>
        <w:rPr>
          <w:color w:val="auto"/>
          <w:highlight w:val="none"/>
        </w:rPr>
        <w:t>按</w:t>
      </w:r>
      <w:r>
        <w:rPr>
          <w:rFonts w:hint="eastAsia"/>
          <w:color w:val="auto"/>
          <w:highlight w:val="none"/>
        </w:rPr>
        <w:t>《中华人民共和国药典》</w:t>
      </w:r>
      <w:r>
        <w:rPr>
          <w:rFonts w:hint="eastAsia"/>
          <w:color w:val="auto"/>
          <w:highlight w:val="none"/>
          <w:lang w:val="en-US" w:eastAsia="zh-CN"/>
        </w:rPr>
        <w:t>四部通则</w:t>
      </w:r>
      <w:r>
        <w:rPr>
          <w:rFonts w:hint="eastAsia"/>
          <w:color w:val="auto"/>
          <w:highlight w:val="none"/>
          <w:lang w:val="en-US"/>
        </w:rPr>
        <w:t>0</w:t>
      </w:r>
      <w:r>
        <w:rPr>
          <w:rFonts w:hint="eastAsia"/>
          <w:color w:val="auto"/>
          <w:highlight w:val="none"/>
          <w:lang w:val="en-US" w:eastAsia="zh-CN"/>
        </w:rPr>
        <w:t>621 旋光度测定法进行检测，具体操作如下：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旋光仪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</w:rPr>
        <w:t>以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  <w:lang w:val="en-US" w:eastAsia="zh-CN"/>
        </w:rPr>
        <w:t>水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</w:rPr>
        <w:t>作空白校正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  <w:lang w:val="en-US" w:eastAsia="zh-CN"/>
        </w:rPr>
        <w:t>然后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</w:rPr>
        <w:t>将测定管用供试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  <w:lang w:val="en-US" w:eastAsia="zh-CN"/>
        </w:rPr>
        <w:t>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</w:rPr>
        <w:t>溶液冲洗数次，缓缓注入供试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  <w:lang w:val="en-US" w:eastAsia="zh-CN"/>
        </w:rPr>
        <w:t>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</w:rPr>
        <w:t>溶液适量（注意勿使发生气泡），置于旋光计内检测读数，读取旋光度3次，取3次的平均数，</w:t>
      </w:r>
      <w:r>
        <w:rPr>
          <w:color w:val="auto"/>
          <w:highlight w:val="none"/>
        </w:rPr>
        <w:t>并根据公式（1）计算比旋度：</w:t>
      </w:r>
    </w:p>
    <w:p>
      <w:pPr>
        <w:pStyle w:val="269"/>
        <w:ind w:firstLine="420"/>
        <w:jc w:val="right"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position w:val="-28"/>
          <w:highlight w:val="none"/>
          <w:lang w:eastAsia="zh-CN"/>
        </w:rPr>
        <w:object>
          <v:shape id="_x0000_i1026" o:spt="75" type="#_x0000_t75" style="height:28.4pt;width:98.0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6">
            <o:LockedField>false</o:LockedField>
          </o:OLEObject>
        </w:object>
      </w:r>
      <w:r>
        <w:rPr>
          <w:rFonts w:ascii="微软雅黑" w:hAnsi="微软雅黑"/>
          <w:color w:val="auto"/>
          <w:highlight w:val="none"/>
        </w:rPr>
        <w:t xml:space="preserve">······································································ </w:t>
      </w:r>
      <w:r>
        <w:rPr>
          <w:color w:val="auto"/>
          <w:highlight w:val="none"/>
        </w:rPr>
        <w:t>(1)</w:t>
      </w:r>
    </w:p>
    <w:p>
      <w:pPr>
        <w:pStyle w:val="3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0" w:firstLineChars="200"/>
        <w:textAlignment w:val="auto"/>
        <w:rPr>
          <w:color w:val="auto"/>
          <w:highlight w:val="none"/>
        </w:rPr>
      </w:pPr>
    </w:p>
    <w:p>
      <w:pPr>
        <w:pStyle w:val="3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pacing w:val="-3"/>
          <w:sz w:val="21"/>
          <w:szCs w:val="21"/>
          <w:highlight w:val="none"/>
        </w:rPr>
      </w:pPr>
      <w:r>
        <w:rPr>
          <w:color w:val="auto"/>
          <w:highlight w:val="none"/>
        </w:rPr>
        <w:t>式中：</w:t>
      </w:r>
      <w:r>
        <w:rPr>
          <w:rFonts w:hint="eastAsia"/>
          <w:i/>
          <w:iCs/>
          <w:color w:val="auto"/>
          <w:highlight w:val="none"/>
          <w:lang w:val="en-US" w:eastAsia="zh-CN"/>
        </w:rPr>
        <w:t>[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  <w:highlight w:val="none"/>
        </w:rPr>
        <w:t>α</w:t>
      </w:r>
      <w:r>
        <w:rPr>
          <w:rFonts w:hint="eastAsia" w:ascii="Times New Roman" w:hAnsi="Times New Roman" w:eastAsia="宋体" w:cs="Times New Roman"/>
          <w:i/>
          <w:iCs/>
          <w:color w:val="auto"/>
          <w:sz w:val="21"/>
          <w:szCs w:val="21"/>
          <w:highlight w:val="none"/>
          <w:lang w:val="en-US" w:eastAsia="zh-CN"/>
        </w:rPr>
        <w:t>]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—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highlight w:val="none"/>
          <w:lang w:val="en-US" w:eastAsia="zh-CN"/>
        </w:rPr>
        <w:t>为比旋度，单位为</w:t>
      </w:r>
      <w:r>
        <w:rPr>
          <w:rFonts w:hint="eastAsia" w:ascii="宋体" w:hAnsi="宋体" w:eastAsia="宋体" w:cs="宋体"/>
          <w:color w:val="auto"/>
          <w:highlight w:val="none"/>
        </w:rPr>
        <w:t>°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highlight w:val="none"/>
        </w:rPr>
        <w:t>；</w:t>
      </w:r>
    </w:p>
    <w:p>
      <w:pPr>
        <w:pStyle w:val="3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0" w:leftChars="0" w:right="0" w:firstLine="1050" w:firstLineChars="500"/>
        <w:textAlignment w:val="auto"/>
        <w:rPr>
          <w:rFonts w:hint="eastAsia" w:ascii="宋体" w:hAnsi="宋体" w:eastAsia="宋体" w:cs="宋体"/>
          <w:color w:val="auto"/>
          <w:spacing w:val="-3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i/>
          <w:iCs/>
          <w:color w:val="auto"/>
          <w:sz w:val="21"/>
          <w:szCs w:val="21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  <w:t>钠光谱的D线；</w:t>
      </w:r>
    </w:p>
    <w:p>
      <w:pPr>
        <w:pStyle w:val="3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0" w:leftChars="0" w:right="618" w:firstLine="1058" w:firstLineChars="504"/>
        <w:textAlignment w:val="auto"/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  <w:highlight w:val="none"/>
        </w:rPr>
        <w:t>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—</w:t>
      </w:r>
      <w:r>
        <w:rPr>
          <w:rFonts w:hint="eastAsia" w:ascii="宋体" w:hAnsi="宋体" w:eastAsia="宋体" w:cs="宋体"/>
          <w:i w:val="0"/>
          <w:iCs w:val="0"/>
          <w:color w:val="auto"/>
          <w:spacing w:val="-3"/>
          <w:sz w:val="21"/>
          <w:szCs w:val="21"/>
          <w:highlight w:val="none"/>
          <w:lang w:val="en-US" w:eastAsia="zh-CN"/>
        </w:rPr>
        <w:t>为测得的旋光度；</w:t>
      </w:r>
    </w:p>
    <w:p>
      <w:pPr>
        <w:pStyle w:val="3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0" w:leftChars="0" w:right="618" w:firstLine="1058" w:firstLineChars="504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  <w:highlight w:val="none"/>
        </w:rPr>
        <w:t>L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—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highlight w:val="none"/>
        </w:rPr>
        <w:t>旋光管的长度，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mm； </w:t>
      </w:r>
    </w:p>
    <w:p>
      <w:pPr>
        <w:pStyle w:val="26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1058" w:firstLineChars="504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—</w:t>
      </w:r>
      <w:r>
        <w:rPr>
          <w:rFonts w:hint="eastAsia" w:ascii="宋体" w:hAnsi="宋体" w:eastAsia="宋体" w:cs="宋体"/>
          <w:color w:val="auto"/>
          <w:spacing w:val="-3"/>
          <w:sz w:val="21"/>
          <w:szCs w:val="21"/>
          <w:highlight w:val="none"/>
        </w:rPr>
        <w:t>供试品的浓度，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g/m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>
      <w:pPr>
        <w:pStyle w:val="26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1058" w:firstLineChars="504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i/>
          <w:color w:val="auto"/>
          <w:position w:val="1"/>
          <w:sz w:val="21"/>
          <w:szCs w:val="21"/>
          <w:highlight w:val="none"/>
        </w:rPr>
        <w:t>ω</w:t>
      </w:r>
      <w:r>
        <w:rPr>
          <w:rFonts w:hint="eastAsia" w:ascii="宋体" w:hAnsi="宋体" w:eastAsia="宋体" w:cs="宋体"/>
          <w:color w:val="auto"/>
          <w:position w:val="1"/>
          <w:sz w:val="21"/>
          <w:szCs w:val="21"/>
          <w:highlight w:val="none"/>
        </w:rPr>
        <w:t>—</w:t>
      </w:r>
      <w:r>
        <w:rPr>
          <w:rFonts w:hint="eastAsia" w:ascii="宋体" w:hAnsi="宋体" w:eastAsia="宋体" w:cs="宋体"/>
          <w:color w:val="auto"/>
          <w:spacing w:val="-3"/>
          <w:position w:val="1"/>
          <w:sz w:val="21"/>
          <w:szCs w:val="21"/>
          <w:highlight w:val="none"/>
        </w:rPr>
        <w:t>供试品中的水分含量，%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pStyle w:val="26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1058" w:firstLineChars="504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pH值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试剂</w:t>
      </w:r>
    </w:p>
    <w:p>
      <w:pPr>
        <w:pStyle w:val="269"/>
        <w:ind w:firstLine="420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水：</w:t>
      </w:r>
      <w:r>
        <w:rPr>
          <w:rFonts w:hint="eastAsia"/>
          <w:color w:val="auto"/>
          <w:highlight w:val="none"/>
        </w:rPr>
        <w:t>新沸过并放冷</w:t>
      </w:r>
      <w:r>
        <w:rPr>
          <w:rFonts w:hint="eastAsia"/>
          <w:color w:val="auto"/>
          <w:highlight w:val="none"/>
          <w:lang w:val="en-US" w:eastAsia="zh-CN"/>
        </w:rPr>
        <w:t>至室温的纯化水</w:t>
      </w:r>
      <w:r>
        <w:rPr>
          <w:rFonts w:hint="eastAsia"/>
          <w:color w:val="auto"/>
          <w:highlight w:val="none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仪器和</w:t>
      </w: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材料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a）</w:t>
      </w:r>
      <w:r>
        <w:rPr>
          <w:rFonts w:hint="eastAsia" w:ascii="宋体" w:hAnsi="宋体" w:eastAsia="宋体" w:cs="宋体"/>
          <w:color w:val="auto"/>
          <w:highlight w:val="none"/>
        </w:rPr>
        <w:t>酸度计：精度0.01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b）</w:t>
      </w:r>
      <w:r>
        <w:rPr>
          <w:rFonts w:hint="eastAsia" w:ascii="宋体" w:hAnsi="宋体" w:eastAsia="宋体" w:cs="宋体"/>
          <w:color w:val="auto"/>
          <w:highlight w:val="none"/>
        </w:rPr>
        <w:t>电子天平：精度0.1 mg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43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c）温度计：</w:t>
      </w:r>
      <w:r>
        <w:rPr>
          <w:rFonts w:hint="eastAsia" w:hAnsi="Times New Roman" w:cs="Times New Roman"/>
          <w:color w:val="auto"/>
          <w:highlight w:val="none"/>
          <w:lang w:val="en-US" w:eastAsia="zh-CN"/>
        </w:rPr>
        <w:t>量程0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hAnsi="Times New Roman" w:cs="Times New Roman"/>
          <w:color w:val="auto"/>
          <w:highlight w:val="none"/>
          <w:lang w:val="en-US" w:eastAsia="zh-CN"/>
        </w:rPr>
        <w:t>℃</w:t>
      </w:r>
      <w:r>
        <w:rPr>
          <w:rFonts w:hint="eastAsia" w:ascii="宋体" w:hAnsi="Times New Roman" w:eastAsia="宋体" w:cs="Times New Roman"/>
          <w:color w:val="auto"/>
          <w:sz w:val="21"/>
          <w:szCs w:val="20"/>
          <w:highlight w:val="none"/>
        </w:rPr>
        <w:t>～</w:t>
      </w:r>
      <w:r>
        <w:rPr>
          <w:rFonts w:hint="eastAsia" w:ascii="宋体" w:hAnsi="Times New Roman" w:eastAsia="宋体" w:cs="Times New Roman"/>
          <w:color w:val="auto"/>
          <w:sz w:val="21"/>
          <w:szCs w:val="20"/>
          <w:highlight w:val="none"/>
          <w:lang w:val="en-US" w:eastAsia="zh-CN"/>
        </w:rPr>
        <w:t>100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Times New Roman" w:eastAsia="宋体" w:cs="Times New Roman"/>
          <w:color w:val="auto"/>
          <w:sz w:val="21"/>
          <w:szCs w:val="20"/>
          <w:highlight w:val="none"/>
          <w:lang w:val="en-US" w:eastAsia="zh-CN"/>
        </w:rPr>
        <w:t>℃，精度1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Times New Roman" w:eastAsia="宋体" w:cs="Times New Roman"/>
          <w:color w:val="auto"/>
          <w:sz w:val="21"/>
          <w:szCs w:val="20"/>
          <w:highlight w:val="none"/>
          <w:lang w:val="en-US" w:eastAsia="zh-CN"/>
        </w:rPr>
        <w:t>℃</w:t>
      </w:r>
      <w:r>
        <w:rPr>
          <w:rFonts w:hint="eastAsia" w:cs="Times New Roman"/>
          <w:color w:val="auto"/>
          <w:sz w:val="21"/>
          <w:szCs w:val="20"/>
          <w:highlight w:val="none"/>
          <w:lang w:val="en-US"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d）</w:t>
      </w:r>
      <w:r>
        <w:rPr>
          <w:rFonts w:hint="eastAsia" w:ascii="宋体" w:hAnsi="宋体" w:eastAsia="宋体" w:cs="宋体"/>
          <w:color w:val="auto"/>
          <w:highlight w:val="none"/>
        </w:rPr>
        <w:t>烧杯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溶液配制</w:t>
      </w:r>
    </w:p>
    <w:p>
      <w:pPr>
        <w:pStyle w:val="269"/>
        <w:ind w:firstLine="42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供试品溶液制备：称取供试品0.0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color w:val="auto"/>
          <w:highlight w:val="none"/>
        </w:rPr>
        <w:t> </w:t>
      </w:r>
      <w:r>
        <w:rPr>
          <w:rFonts w:hint="eastAsia"/>
          <w:color w:val="auto"/>
          <w:highlight w:val="none"/>
        </w:rPr>
        <w:t>g（精确至0.</w:t>
      </w:r>
      <w:r>
        <w:rPr>
          <w:color w:val="auto"/>
          <w:highlight w:val="none"/>
        </w:rPr>
        <w:t> </w:t>
      </w:r>
      <w:r>
        <w:rPr>
          <w:rFonts w:hint="eastAsia"/>
          <w:color w:val="auto"/>
          <w:highlight w:val="none"/>
        </w:rPr>
        <w:t>1</w:t>
      </w:r>
      <w:r>
        <w:rPr>
          <w:color w:val="auto"/>
          <w:highlight w:val="none"/>
        </w:rPr>
        <w:t> </w:t>
      </w:r>
      <w:r>
        <w:rPr>
          <w:rFonts w:hint="eastAsia"/>
          <w:color w:val="auto"/>
          <w:highlight w:val="none"/>
          <w:lang w:val="en-US" w:eastAsia="zh-CN"/>
        </w:rPr>
        <w:t>m</w:t>
      </w:r>
      <w:r>
        <w:rPr>
          <w:rFonts w:hint="eastAsia"/>
          <w:color w:val="auto"/>
          <w:highlight w:val="none"/>
        </w:rPr>
        <w:t>g），置烧杯中，加水10</w:t>
      </w:r>
      <w:r>
        <w:rPr>
          <w:color w:val="auto"/>
          <w:highlight w:val="none"/>
        </w:rPr>
        <w:t> </w:t>
      </w:r>
      <w:r>
        <w:rPr>
          <w:rFonts w:hint="eastAsia"/>
          <w:color w:val="auto"/>
          <w:highlight w:val="none"/>
        </w:rPr>
        <w:t>m</w:t>
      </w:r>
      <w:r>
        <w:rPr>
          <w:rFonts w:hint="eastAsia"/>
          <w:color w:val="auto"/>
          <w:highlight w:val="none"/>
          <w:lang w:val="en-US" w:eastAsia="zh-CN"/>
        </w:rPr>
        <w:t>l</w:t>
      </w:r>
      <w:r>
        <w:rPr>
          <w:rFonts w:hint="eastAsia"/>
          <w:color w:val="auto"/>
          <w:highlight w:val="none"/>
        </w:rPr>
        <w:t>搅拌至完全溶解，即得供试品溶液。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操作过程</w:t>
      </w:r>
    </w:p>
    <w:p>
      <w:pPr>
        <w:pStyle w:val="269"/>
        <w:ind w:firstLine="42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按照</w:t>
      </w:r>
      <w:r>
        <w:rPr>
          <w:rFonts w:hint="eastAsia"/>
          <w:color w:val="auto"/>
          <w:highlight w:val="none"/>
          <w:lang w:eastAsia="zh-CN"/>
        </w:rPr>
        <w:t>《</w:t>
      </w:r>
      <w:r>
        <w:rPr>
          <w:rFonts w:hint="eastAsia"/>
          <w:color w:val="auto"/>
          <w:highlight w:val="none"/>
        </w:rPr>
        <w:t>中华人民共和国药典》（2020</w:t>
      </w:r>
      <w:r>
        <w:rPr>
          <w:rFonts w:hint="eastAsia"/>
          <w:color w:val="auto"/>
          <w:highlight w:val="none"/>
          <w:lang w:val="en-US" w:eastAsia="zh-CN"/>
        </w:rPr>
        <w:t>年</w:t>
      </w:r>
      <w:r>
        <w:rPr>
          <w:rFonts w:hint="eastAsia"/>
          <w:color w:val="auto"/>
          <w:highlight w:val="none"/>
        </w:rPr>
        <w:t>版）</w:t>
      </w:r>
      <w:r>
        <w:rPr>
          <w:rFonts w:hint="eastAsia"/>
          <w:color w:val="auto"/>
          <w:highlight w:val="none"/>
          <w:lang w:val="en-US" w:eastAsia="zh-CN"/>
        </w:rPr>
        <w:t>第</w:t>
      </w:r>
      <w:r>
        <w:rPr>
          <w:rFonts w:hint="eastAsia"/>
          <w:color w:val="auto"/>
          <w:highlight w:val="none"/>
          <w:lang w:val="en-US"/>
        </w:rPr>
        <w:t>四部</w:t>
      </w:r>
      <w:r>
        <w:rPr>
          <w:rFonts w:hint="eastAsia"/>
          <w:color w:val="auto"/>
          <w:highlight w:val="none"/>
          <w:lang w:val="en-US" w:eastAsia="zh-CN"/>
        </w:rPr>
        <w:t xml:space="preserve">通则 </w:t>
      </w:r>
      <w:r>
        <w:rPr>
          <w:rFonts w:hint="eastAsia"/>
          <w:color w:val="auto"/>
          <w:highlight w:val="none"/>
          <w:lang w:val="en-US"/>
        </w:rPr>
        <w:t>0</w:t>
      </w:r>
      <w:r>
        <w:rPr>
          <w:rFonts w:hint="eastAsia"/>
          <w:color w:val="auto"/>
          <w:highlight w:val="none"/>
          <w:lang w:val="en-US" w:eastAsia="zh-CN"/>
        </w:rPr>
        <w:t>631</w:t>
      </w:r>
      <w:r>
        <w:rPr>
          <w:rFonts w:hint="eastAsia"/>
          <w:color w:val="auto"/>
          <w:highlight w:val="none"/>
          <w:lang w:val="en-US"/>
        </w:rPr>
        <w:t xml:space="preserve"> </w:t>
      </w:r>
      <w:r>
        <w:rPr>
          <w:rFonts w:hint="eastAsia"/>
          <w:color w:val="auto"/>
          <w:highlight w:val="none"/>
          <w:lang w:val="en-US" w:eastAsia="zh-CN"/>
        </w:rPr>
        <w:t>pH值</w:t>
      </w:r>
      <w:r>
        <w:rPr>
          <w:rFonts w:hint="eastAsia"/>
          <w:color w:val="auto"/>
          <w:highlight w:val="none"/>
          <w:lang w:val="en-US"/>
        </w:rPr>
        <w:t>测定法</w:t>
      </w:r>
      <w:r>
        <w:rPr>
          <w:rFonts w:hint="eastAsia"/>
          <w:color w:val="auto"/>
          <w:highlight w:val="none"/>
        </w:rPr>
        <w:t>进行</w:t>
      </w:r>
      <w:r>
        <w:rPr>
          <w:rFonts w:hint="eastAsia"/>
          <w:color w:val="auto"/>
          <w:highlight w:val="none"/>
          <w:lang w:val="en-US" w:eastAsia="zh-CN"/>
        </w:rPr>
        <w:t>检测，具体操作如下：</w:t>
      </w:r>
    </w:p>
    <w:p>
      <w:pPr>
        <w:keepNext w:val="0"/>
        <w:keepLines w:val="0"/>
        <w:widowControl/>
        <w:suppressLineNumbers w:val="0"/>
        <w:jc w:val="left"/>
        <w:rPr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使供试品溶液温度至25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℃±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2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℃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用已校正过的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酸度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计测定。取两次平行测定结果的算术平均值为测定结果，两次平行测定结果之差不大于0.2。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水分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试剂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a）</w:t>
      </w:r>
      <w:r>
        <w:rPr>
          <w:rFonts w:hint="eastAsia" w:ascii="宋体" w:hAnsi="宋体" w:eastAsia="宋体" w:cs="宋体"/>
          <w:color w:val="auto"/>
          <w:highlight w:val="none"/>
        </w:rPr>
        <w:t>无水甲醇：分析纯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b）</w:t>
      </w:r>
      <w:r>
        <w:rPr>
          <w:rFonts w:hint="eastAsia" w:ascii="宋体" w:hAnsi="宋体" w:eastAsia="宋体" w:cs="宋体"/>
          <w:color w:val="auto"/>
          <w:highlight w:val="none"/>
        </w:rPr>
        <w:t>卡尔费休试剂：分析纯，滴定度为3 mg/m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～5 mg/m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仪器和</w:t>
      </w: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材料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a）</w:t>
      </w:r>
      <w:r>
        <w:rPr>
          <w:rFonts w:hint="eastAsia" w:ascii="宋体" w:hAnsi="宋体" w:eastAsia="宋体" w:cs="宋体"/>
          <w:color w:val="auto"/>
          <w:highlight w:val="none"/>
        </w:rPr>
        <w:t>智能水分滴定仪：精度0.001 %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b）</w:t>
      </w:r>
      <w:r>
        <w:rPr>
          <w:rFonts w:hint="eastAsia" w:ascii="宋体" w:hAnsi="宋体" w:eastAsia="宋体" w:cs="宋体"/>
          <w:color w:val="auto"/>
          <w:highlight w:val="none"/>
        </w:rPr>
        <w:t>电子天平：精度0.1 mg。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操作过程</w:t>
      </w:r>
    </w:p>
    <w:p>
      <w:pPr>
        <w:pStyle w:val="269"/>
        <w:ind w:firstLine="42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称取供试品0.10</w:t>
      </w:r>
      <w:r>
        <w:rPr>
          <w:color w:val="auto"/>
          <w:highlight w:val="none"/>
        </w:rPr>
        <w:t> </w:t>
      </w:r>
      <w:r>
        <w:rPr>
          <w:rFonts w:hint="eastAsia"/>
          <w:color w:val="auto"/>
          <w:highlight w:val="none"/>
        </w:rPr>
        <w:t>g（精确至0.</w:t>
      </w:r>
      <w:r>
        <w:rPr>
          <w:color w:val="auto"/>
          <w:highlight w:val="none"/>
        </w:rPr>
        <w:t> </w:t>
      </w:r>
      <w:r>
        <w:rPr>
          <w:rFonts w:hint="eastAsia"/>
          <w:color w:val="auto"/>
          <w:highlight w:val="none"/>
        </w:rPr>
        <w:t>1</w:t>
      </w:r>
      <w:r>
        <w:rPr>
          <w:color w:val="auto"/>
          <w:highlight w:val="none"/>
        </w:rPr>
        <w:t> </w:t>
      </w:r>
      <w:r>
        <w:rPr>
          <w:rFonts w:hint="eastAsia"/>
          <w:color w:val="auto"/>
          <w:highlight w:val="none"/>
          <w:lang w:val="en-US" w:eastAsia="zh-CN"/>
        </w:rPr>
        <w:t>m</w:t>
      </w:r>
      <w:r>
        <w:rPr>
          <w:rFonts w:hint="eastAsia"/>
          <w:color w:val="auto"/>
          <w:highlight w:val="none"/>
        </w:rPr>
        <w:t>g），按GB/T 6283中规定的电量法进行测定。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含量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试剂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见6.2.1。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仪器和材料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见6.2.2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色谱条件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见6.2.3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系统适应性</w:t>
      </w:r>
    </w:p>
    <w:p>
      <w:pPr>
        <w:pStyle w:val="269"/>
        <w:ind w:firstLine="42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理论板数按</w:t>
      </w:r>
      <w:r>
        <w:rPr>
          <w:rFonts w:hint="eastAsia"/>
          <w:color w:val="auto"/>
          <w:highlight w:val="none"/>
          <w:lang w:eastAsia="zh-CN"/>
        </w:rPr>
        <w:t>六肽-11</w:t>
      </w:r>
      <w:r>
        <w:rPr>
          <w:rFonts w:hint="eastAsia"/>
          <w:color w:val="auto"/>
          <w:highlight w:val="none"/>
        </w:rPr>
        <w:t>峰计算不低于2</w:t>
      </w:r>
      <w:r>
        <w:rPr>
          <w:color w:val="auto"/>
          <w:highlight w:val="none"/>
        </w:rPr>
        <w:t> </w:t>
      </w:r>
      <w:r>
        <w:rPr>
          <w:rFonts w:hint="eastAsia"/>
          <w:color w:val="auto"/>
          <w:highlight w:val="none"/>
          <w:lang w:val="en-US" w:eastAsia="zh-CN"/>
        </w:rPr>
        <w:t>0</w:t>
      </w:r>
      <w:r>
        <w:rPr>
          <w:rFonts w:hint="eastAsia"/>
          <w:color w:val="auto"/>
          <w:highlight w:val="none"/>
        </w:rPr>
        <w:t>00。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溶液配制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见6.2.4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>
      <w:pPr>
        <w:pStyle w:val="143"/>
        <w:rPr>
          <w:rFonts w:hint="eastAsia" w:ascii="宋体" w:hAnsi="宋体" w:eastAsia="宋体" w:cs="宋体"/>
          <w:color w:val="auto"/>
          <w:highlight w:val="none"/>
        </w:rPr>
      </w:pPr>
    </w:p>
    <w:p>
      <w:pPr>
        <w:pStyle w:val="143"/>
        <w:rPr>
          <w:rFonts w:hint="eastAsia" w:ascii="宋体" w:hAnsi="宋体" w:eastAsia="宋体" w:cs="宋体"/>
          <w:color w:val="auto"/>
          <w:highlight w:val="none"/>
        </w:rPr>
      </w:pPr>
    </w:p>
    <w:p>
      <w:pPr>
        <w:pStyle w:val="143"/>
        <w:rPr>
          <w:rFonts w:hint="eastAsia" w:ascii="宋体" w:hAnsi="宋体" w:eastAsia="宋体" w:cs="宋体"/>
          <w:color w:val="auto"/>
          <w:highlight w:val="none"/>
        </w:rPr>
      </w:pP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操作过程</w:t>
      </w:r>
    </w:p>
    <w:p>
      <w:pPr>
        <w:pStyle w:val="269"/>
        <w:ind w:firstLine="420"/>
        <w:rPr>
          <w:rFonts w:hint="eastAsia" w:ascii="宋体" w:eastAsia="宋体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高效液相色谱仪稳定后，精密量取空白溶液、供试品溶液各10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/>
          <w:color w:val="auto"/>
          <w:highlight w:val="none"/>
          <w:lang w:val="en-US" w:eastAsia="zh-CN"/>
        </w:rPr>
        <w:t>，依次进样，</w:t>
      </w:r>
      <w:r>
        <w:rPr>
          <w:rFonts w:hint="eastAsia" w:ascii="宋体" w:eastAsia="宋体"/>
          <w:color w:val="auto"/>
          <w:highlight w:val="none"/>
        </w:rPr>
        <w:t>记录色谱图，按</w:t>
      </w:r>
      <w:r>
        <w:rPr>
          <w:rFonts w:hint="eastAsia"/>
          <w:color w:val="auto"/>
          <w:highlight w:val="none"/>
          <w:lang w:val="en-US" w:eastAsia="zh-CN"/>
        </w:rPr>
        <w:t>照</w:t>
      </w:r>
      <w:r>
        <w:rPr>
          <w:rFonts w:hint="eastAsia" w:ascii="宋体" w:eastAsia="宋体"/>
          <w:color w:val="auto"/>
          <w:highlight w:val="none"/>
        </w:rPr>
        <w:t>面积归一法进行计算。供试品溶液色谱扣除空白溶液的色谱峰，积分读取</w:t>
      </w:r>
      <w:r>
        <w:rPr>
          <w:rFonts w:hint="eastAsia" w:ascii="宋体" w:eastAsia="宋体"/>
          <w:color w:val="auto"/>
          <w:highlight w:val="none"/>
          <w:lang w:eastAsia="zh-CN"/>
        </w:rPr>
        <w:t>六肽-11</w:t>
      </w:r>
      <w:r>
        <w:rPr>
          <w:rFonts w:hint="eastAsia" w:ascii="宋体" w:eastAsia="宋体"/>
          <w:color w:val="auto"/>
          <w:highlight w:val="none"/>
        </w:rPr>
        <w:t>峰面积百分比数值，作为</w:t>
      </w:r>
      <w:r>
        <w:rPr>
          <w:rFonts w:hint="eastAsia"/>
          <w:color w:val="auto"/>
          <w:highlight w:val="none"/>
          <w:lang w:val="en-US" w:eastAsia="zh-CN"/>
        </w:rPr>
        <w:t>六肽-11的含量</w:t>
      </w:r>
      <w:r>
        <w:rPr>
          <w:rFonts w:hint="eastAsia" w:ascii="宋体" w:eastAsia="宋体"/>
          <w:color w:val="auto"/>
          <w:highlight w:val="none"/>
        </w:rPr>
        <w:t>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醋酸含量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试剂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a）</w:t>
      </w:r>
      <w:r>
        <w:rPr>
          <w:rFonts w:hint="eastAsia" w:ascii="宋体" w:hAnsi="宋体" w:eastAsia="宋体" w:cs="宋体"/>
          <w:color w:val="auto"/>
          <w:highlight w:val="none"/>
        </w:rPr>
        <w:t>冰醋酸：分析纯，含量≥99.5 %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磷酸：分析纯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氢氧化钠：分析纯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甲醇：色谱纯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e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水：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纯化水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仪器和材料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高效液相色谱仪：紫外检测器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电子天平：精度0.1 mg。</w:t>
      </w:r>
    </w:p>
    <w:p>
      <w:pPr>
        <w:pStyle w:val="143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酸度计：精度0.01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容量瓶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43"/>
        <w:rPr>
          <w:rFonts w:hint="eastAsia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  <w:u w:val="none"/>
          <w:lang w:val="en-US" w:eastAsia="zh-CN"/>
        </w:rPr>
        <w:t>e）1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hAnsi="宋体" w:cs="宋体"/>
          <w:color w:val="auto"/>
          <w:highlight w:val="none"/>
          <w:u w:val="none"/>
          <w:lang w:val="en-US" w:eastAsia="zh-CN"/>
        </w:rPr>
        <w:t>ml刻度吸管；</w:t>
      </w:r>
    </w:p>
    <w:p>
      <w:pPr>
        <w:pStyle w:val="143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hAnsi="宋体" w:cs="宋体"/>
          <w:color w:val="auto"/>
          <w:highlight w:val="none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hAnsi="宋体" w:cs="宋体"/>
          <w:color w:val="auto"/>
          <w:highlight w:val="none"/>
          <w:lang w:val="en-US" w:eastAsia="zh-CN"/>
        </w:rPr>
        <w:t>抽滤装置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g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超声震荡仪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h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 xml:space="preserve">0.45 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m滤膜（水相）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色谱条件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a）</w:t>
      </w:r>
      <w:r>
        <w:rPr>
          <w:rFonts w:hint="eastAsia" w:ascii="宋体" w:hAnsi="宋体" w:eastAsia="宋体" w:cs="宋体"/>
          <w:color w:val="auto"/>
          <w:highlight w:val="none"/>
        </w:rPr>
        <w:t>色谱柱：C18色谱柱（4.6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mm×250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mm，粒径5 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m</w:t>
      </w:r>
      <w:r>
        <w:rPr>
          <w:rFonts w:hint="eastAsia" w:ascii="宋体" w:hAnsi="宋体" w:eastAsia="宋体" w:cs="宋体"/>
          <w:color w:val="auto"/>
          <w:highlight w:val="none"/>
        </w:rPr>
        <w:t>）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流动相A：在1 000 m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水中加磷酸0.7 m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，用0.42 %氢氧化钠溶液调节pH值至3.0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流动相B：甲醇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流速：1.2 m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/min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e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进样量：10 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柱温：25 ℃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g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检测波长：210 nm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h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流动相梯度洗脱程序见表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>
      <w:pPr>
        <w:pStyle w:val="281"/>
        <w:numPr>
          <w:ilvl w:val="0"/>
          <w:numId w:val="0"/>
        </w:numPr>
        <w:spacing w:before="120" w:after="120"/>
        <w:ind w:leftChars="0"/>
        <w:jc w:val="center"/>
        <w:rPr>
          <w:rFonts w:hint="eastAsia" w:hAnsi="黑体" w:cs="黑体"/>
          <w:color w:val="auto"/>
          <w:szCs w:val="21"/>
          <w:highlight w:val="none"/>
          <w:shd w:val="clear" w:color="auto" w:fill="auto"/>
        </w:rPr>
      </w:pPr>
      <w:r>
        <w:rPr>
          <w:rFonts w:hint="eastAsia" w:hAnsi="黑体" w:cs="黑体"/>
          <w:color w:val="auto"/>
          <w:szCs w:val="21"/>
          <w:highlight w:val="none"/>
          <w:shd w:val="clear" w:color="auto" w:fill="auto"/>
          <w:lang w:val="en-US" w:eastAsia="zh-CN"/>
        </w:rPr>
        <w:t>表4 流动相</w:t>
      </w:r>
      <w:r>
        <w:rPr>
          <w:rFonts w:hint="eastAsia" w:hAnsi="黑体" w:cs="黑体"/>
          <w:color w:val="auto"/>
          <w:szCs w:val="21"/>
          <w:highlight w:val="none"/>
          <w:shd w:val="clear" w:color="auto" w:fill="auto"/>
        </w:rPr>
        <w:t>梯度洗脱程序</w:t>
      </w:r>
    </w:p>
    <w:tbl>
      <w:tblPr>
        <w:tblStyle w:val="28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3"/>
        <w:gridCol w:w="3118"/>
        <w:gridCol w:w="2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时间</w:t>
            </w:r>
          </w:p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min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流动相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A</w:t>
            </w:r>
          </w:p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%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流动相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0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95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5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95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50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20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50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22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95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30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95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5</w:t>
            </w:r>
          </w:p>
        </w:tc>
      </w:tr>
    </w:tbl>
    <w:p>
      <w:pPr>
        <w:pStyle w:val="269"/>
        <w:ind w:left="0" w:leftChars="0" w:firstLine="0" w:firstLineChars="0"/>
        <w:rPr>
          <w:color w:val="auto"/>
          <w:highlight w:val="none"/>
        </w:rPr>
      </w:pPr>
    </w:p>
    <w:p>
      <w:pPr>
        <w:pStyle w:val="269"/>
        <w:ind w:left="0" w:leftChars="0" w:firstLine="0" w:firstLineChars="0"/>
        <w:rPr>
          <w:color w:val="auto"/>
          <w:highlight w:val="none"/>
        </w:rPr>
      </w:pPr>
    </w:p>
    <w:p>
      <w:pPr>
        <w:pStyle w:val="269"/>
        <w:ind w:left="0" w:leftChars="0" w:firstLine="0" w:firstLineChars="0"/>
        <w:rPr>
          <w:color w:val="auto"/>
          <w:highlight w:val="none"/>
        </w:rPr>
      </w:pP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color w:val="auto"/>
          <w:highlight w:val="none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系统适应性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醋酸峰的保留时间约在3 min～4 min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理论板数按照醋酸峰计算不低于2 000。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溶液配制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0.42%氢氧化钠溶液：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取氢氧化钠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0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.42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g</w:t>
      </w:r>
      <w:r>
        <w:rPr>
          <w:rFonts w:hint="eastAsia" w:ascii="宋体" w:hAnsi="宋体" w:eastAsia="宋体" w:cs="宋体"/>
          <w:color w:val="auto"/>
          <w:highlight w:val="none"/>
        </w:rPr>
        <w:t>（精确至0.001 g）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，加水使溶解成100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ml，即得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流动相A：在1 000 m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水中加磷酸0.7 m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，用0.42 %氢氧化钠溶液调节pH值至3.0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空白溶液：流动相A与流动相B以95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:</w:t>
      </w:r>
      <w:r>
        <w:rPr>
          <w:rFonts w:hint="eastAsia" w:ascii="宋体" w:hAnsi="宋体" w:eastAsia="宋体" w:cs="宋体"/>
          <w:color w:val="auto"/>
          <w:highlight w:val="none"/>
        </w:rPr>
        <w:t>5的比例混合均匀，即得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标准品</w:t>
      </w:r>
      <w:r>
        <w:rPr>
          <w:rFonts w:hint="eastAsia" w:ascii="宋体" w:hAnsi="宋体" w:eastAsia="宋体" w:cs="宋体"/>
          <w:color w:val="auto"/>
          <w:highlight w:val="none"/>
        </w:rPr>
        <w:t>溶液：取冰醋酸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12.5 mg</w:t>
      </w:r>
      <w:r>
        <w:rPr>
          <w:rFonts w:hint="eastAsia" w:ascii="宋体" w:hAnsi="宋体" w:eastAsia="宋体" w:cs="宋体"/>
          <w:color w:val="auto"/>
          <w:highlight w:val="none"/>
        </w:rPr>
        <w:t>（精确至0.1 mg），置10 m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容量瓶中，加空白溶液溶解，并稀释至刻度，摇匀，经0.45 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m</w:t>
      </w:r>
      <w:r>
        <w:rPr>
          <w:rFonts w:hint="eastAsia" w:ascii="宋体" w:hAnsi="宋体" w:eastAsia="宋体" w:cs="宋体"/>
          <w:color w:val="auto"/>
          <w:highlight w:val="none"/>
        </w:rPr>
        <w:t>微孔滤膜过滤，续滤液作为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标准品</w:t>
      </w:r>
      <w:r>
        <w:rPr>
          <w:rFonts w:hint="eastAsia" w:ascii="宋体" w:hAnsi="宋体" w:eastAsia="宋体" w:cs="宋体"/>
          <w:color w:val="auto"/>
          <w:highlight w:val="none"/>
        </w:rPr>
        <w:t>溶液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-1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e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供试品溶液：精密称定供试品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100 mg</w:t>
      </w:r>
      <w:r>
        <w:rPr>
          <w:rFonts w:hint="eastAsia" w:ascii="宋体" w:hAnsi="宋体" w:eastAsia="宋体" w:cs="宋体"/>
          <w:color w:val="auto"/>
          <w:highlight w:val="none"/>
        </w:rPr>
        <w:t>（精确至0.1 mg），置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highlight w:val="none"/>
        </w:rPr>
        <w:t>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容量瓶中，加空白溶液溶解，并稀释至刻度，摇匀，经0.45 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m</w:t>
      </w:r>
      <w:r>
        <w:rPr>
          <w:rFonts w:hint="eastAsia" w:ascii="宋体" w:hAnsi="宋体" w:eastAsia="宋体" w:cs="宋体"/>
          <w:color w:val="auto"/>
          <w:highlight w:val="none"/>
        </w:rPr>
        <w:t>微孔滤膜过滤，续滤液作为供试品溶液。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操作过程</w:t>
      </w:r>
    </w:p>
    <w:p>
      <w:pPr>
        <w:pStyle w:val="269"/>
        <w:ind w:firstLine="42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按照</w:t>
      </w:r>
      <w:r>
        <w:rPr>
          <w:rFonts w:hint="eastAsia"/>
          <w:color w:val="auto"/>
          <w:highlight w:val="none"/>
          <w:lang w:eastAsia="zh-CN"/>
        </w:rPr>
        <w:t>《</w:t>
      </w:r>
      <w:r>
        <w:rPr>
          <w:rFonts w:hint="eastAsia"/>
          <w:color w:val="auto"/>
          <w:highlight w:val="none"/>
        </w:rPr>
        <w:t>中华人民共和国药典》（2020</w:t>
      </w:r>
      <w:r>
        <w:rPr>
          <w:rFonts w:hint="eastAsia"/>
          <w:color w:val="auto"/>
          <w:highlight w:val="none"/>
          <w:lang w:val="en-US" w:eastAsia="zh-CN"/>
        </w:rPr>
        <w:t>年</w:t>
      </w:r>
      <w:r>
        <w:rPr>
          <w:rFonts w:hint="eastAsia"/>
          <w:color w:val="auto"/>
          <w:highlight w:val="none"/>
        </w:rPr>
        <w:t>版）</w:t>
      </w:r>
      <w:r>
        <w:rPr>
          <w:rFonts w:hint="eastAsia"/>
          <w:color w:val="auto"/>
          <w:highlight w:val="none"/>
          <w:lang w:val="en-US" w:eastAsia="zh-CN"/>
        </w:rPr>
        <w:t>第</w:t>
      </w:r>
      <w:r>
        <w:rPr>
          <w:rFonts w:hint="eastAsia"/>
          <w:color w:val="auto"/>
          <w:highlight w:val="none"/>
          <w:lang w:val="en-US"/>
        </w:rPr>
        <w:t>四部</w:t>
      </w:r>
      <w:r>
        <w:rPr>
          <w:rFonts w:hint="eastAsia"/>
          <w:color w:val="auto"/>
          <w:highlight w:val="none"/>
          <w:lang w:val="en-US" w:eastAsia="zh-CN"/>
        </w:rPr>
        <w:t xml:space="preserve">通则 </w:t>
      </w:r>
      <w:r>
        <w:rPr>
          <w:rFonts w:hint="eastAsia"/>
          <w:color w:val="auto"/>
          <w:highlight w:val="none"/>
          <w:lang w:val="en-US"/>
        </w:rPr>
        <w:t>0</w:t>
      </w:r>
      <w:r>
        <w:rPr>
          <w:rFonts w:hint="eastAsia"/>
          <w:color w:val="auto"/>
          <w:highlight w:val="none"/>
          <w:lang w:val="en-US" w:eastAsia="zh-CN"/>
        </w:rPr>
        <w:t>872</w:t>
      </w:r>
      <w:r>
        <w:rPr>
          <w:rFonts w:hint="eastAsia"/>
          <w:color w:val="auto"/>
          <w:highlight w:val="none"/>
          <w:lang w:val="en-US"/>
        </w:rPr>
        <w:t xml:space="preserve"> </w:t>
      </w:r>
      <w:r>
        <w:rPr>
          <w:rFonts w:hint="eastAsia" w:ascii="宋体" w:hAnsi="Times New Roman" w:eastAsia="宋体" w:cs="Times New Roman"/>
          <w:color w:val="auto"/>
          <w:spacing w:val="0"/>
          <w:w w:val="100"/>
          <w:position w:val="0"/>
          <w:sz w:val="21"/>
          <w:szCs w:val="20"/>
          <w:highlight w:val="none"/>
          <w:lang w:val="en-US" w:eastAsia="zh-CN"/>
        </w:rPr>
        <w:t>合成多肽中的醋酸测定法</w:t>
      </w:r>
      <w:r>
        <w:rPr>
          <w:rFonts w:hint="eastAsia"/>
          <w:color w:val="auto"/>
          <w:highlight w:val="none"/>
        </w:rPr>
        <w:t>进行</w:t>
      </w:r>
      <w:r>
        <w:rPr>
          <w:rFonts w:hint="eastAsia"/>
          <w:color w:val="auto"/>
          <w:highlight w:val="none"/>
          <w:lang w:val="en-US" w:eastAsia="zh-CN"/>
        </w:rPr>
        <w:t>检测，具体操作如下：</w:t>
      </w:r>
      <w:r>
        <w:rPr>
          <w:rFonts w:hint="eastAsia"/>
          <w:color w:val="auto"/>
          <w:highlight w:val="none"/>
        </w:rPr>
        <w:t>精密量取空白溶液、</w:t>
      </w:r>
      <w:r>
        <w:rPr>
          <w:rFonts w:hint="eastAsia"/>
          <w:color w:val="auto"/>
          <w:highlight w:val="none"/>
          <w:lang w:val="en-US" w:eastAsia="zh-CN"/>
        </w:rPr>
        <w:t>标准品</w:t>
      </w:r>
      <w:r>
        <w:rPr>
          <w:rFonts w:hint="eastAsia"/>
          <w:color w:val="auto"/>
          <w:highlight w:val="none"/>
        </w:rPr>
        <w:t>溶液和供试品溶液各10</w:t>
      </w:r>
      <w:r>
        <w:rPr>
          <w:rFonts w:hint="eastAsia"/>
          <w:color w:val="auto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l</w:t>
      </w:r>
      <w:r>
        <w:rPr>
          <w:rFonts w:hint="eastAsia"/>
          <w:color w:val="auto"/>
          <w:highlight w:val="none"/>
        </w:rPr>
        <w:t>，分别注入高效液相色谱仪，记录色谱图，</w:t>
      </w:r>
      <w:r>
        <w:rPr>
          <w:color w:val="auto"/>
          <w:highlight w:val="none"/>
        </w:rPr>
        <w:t>并根据公式（</w:t>
      </w: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color w:val="auto"/>
          <w:highlight w:val="none"/>
        </w:rPr>
        <w:t>）</w:t>
      </w:r>
      <w:r>
        <w:rPr>
          <w:rFonts w:hint="eastAsia"/>
          <w:color w:val="auto"/>
          <w:highlight w:val="none"/>
        </w:rPr>
        <w:t>按外标法以峰面积计算醋酸的含量</w:t>
      </w:r>
      <m:oMath>
        <m:r>
          <m:rPr/>
          <w:rPr>
            <w:rFonts w:hint="default" w:ascii="Cambria Math" w:hAnsi="Cambria Math" w:cs="宋体"/>
            <w:color w:val="auto"/>
            <w:highlight w:val="none"/>
            <w:shd w:val="clear" w:color="auto" w:fill="FFFFFF"/>
          </w:rPr>
          <m:t>ω</m:t>
        </m:r>
      </m:oMath>
      <w:r>
        <w:rPr>
          <w:rFonts w:hint="eastAsia"/>
          <w:color w:val="auto"/>
          <w:highlight w:val="none"/>
        </w:rPr>
        <w:t>：</w:t>
      </w:r>
    </w:p>
    <w:p>
      <w:pPr>
        <w:pStyle w:val="275"/>
        <w:rPr>
          <w:color w:val="auto"/>
          <w:highlight w:val="none"/>
        </w:rPr>
      </w:pPr>
      <w:r>
        <w:rPr>
          <w:color w:val="auto"/>
          <w:highlight w:val="none"/>
        </w:rPr>
        <w:tab/>
      </w:r>
      <m:oMath>
        <m:r>
          <m:rPr/>
          <w:rPr>
            <w:rFonts w:hint="default" w:ascii="Cambria Math" w:hAnsi="Cambria Math" w:cs="宋体"/>
            <w:color w:val="auto"/>
            <w:highlight w:val="none"/>
            <w:shd w:val="clear" w:color="auto" w:fill="FFFFFF"/>
          </w:rPr>
          <m:t>ω</m:t>
        </m:r>
        <m:r>
          <m:rPr/>
          <w:rPr>
            <w:rFonts w:hint="eastAsia" w:ascii="Cambria Math" w:hAnsi="Cambria Math" w:cs="宋体"/>
            <w:color w:val="auto"/>
            <w:highlight w:val="none"/>
            <w:shd w:val="clear" w:color="auto" w:fill="FFFFFF"/>
          </w:rPr>
          <m:t>（%）</m:t>
        </m:r>
        <m:r>
          <m:rPr/>
          <w:rPr>
            <w:rFonts w:hint="default" w:ascii="Cambria Math" w:hAnsi="Cambria Math" w:cs="宋体"/>
            <w:color w:val="auto"/>
            <w:highlight w:val="none"/>
            <w:shd w:val="clear" w:color="auto" w:fill="FFFFFF"/>
          </w:rPr>
          <m:t>=</m:t>
        </m:r>
        <m:f>
          <m:fPr>
            <m:ctrlPr>
              <w:rPr>
                <w:rFonts w:hint="default" w:ascii="Cambria Math" w:hAnsi="Cambria Math" w:cs="宋体"/>
                <w:color w:val="auto"/>
                <w:highlight w:val="none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sSubPr>
              <m:e>
                <m:r>
                  <m:rPr/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  <m:t>A</m:t>
                </m: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color w:val="auto"/>
                    <w:highlight w:val="none"/>
                    <w:shd w:val="clear" w:color="auto" w:fill="FFFFFF"/>
                  </w:rPr>
                  <m:t>供</m:t>
                </m: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sub>
            </m:sSub>
            <m:r>
              <m:rPr/>
              <w:rPr>
                <w:rFonts w:hint="default" w:ascii="Cambria Math" w:hAnsi="Cambria Math" w:cs="宋体"/>
                <w:color w:val="auto"/>
                <w:highlight w:val="none"/>
                <w:shd w:val="clear" w:color="auto" w:fill="FFFFFF"/>
              </w:rPr>
              <m:t>×</m:t>
            </m:r>
            <m:sSub>
              <m:sSubP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sSubPr>
              <m:e>
                <m:r>
                  <m:rPr/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  <m:t>V</m:t>
                </m: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color w:val="auto"/>
                    <w:highlight w:val="none"/>
                    <w:shd w:val="clear" w:color="auto" w:fill="FFFFFF"/>
                  </w:rPr>
                  <m:t>供</m:t>
                </m: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sub>
            </m:sSub>
            <m:r>
              <m:rPr/>
              <w:rPr>
                <w:rFonts w:hint="default" w:ascii="Cambria Math" w:hAnsi="Cambria Math" w:cs="宋体"/>
                <w:color w:val="auto"/>
                <w:highlight w:val="none"/>
                <w:shd w:val="clear" w:color="auto" w:fill="FFFFFF"/>
              </w:rPr>
              <m:t>×</m:t>
            </m:r>
            <m:sSub>
              <m:sSubP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sSubPr>
              <m:e>
                <m:r>
                  <m:rPr/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  <m:t>W</m:t>
                </m: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color w:val="auto"/>
                    <w:highlight w:val="none"/>
                    <w:shd w:val="clear" w:color="auto" w:fill="FFFFFF"/>
                    <w:lang w:val="en-US" w:eastAsia="zh-CN"/>
                  </w:rPr>
                  <m:t>标</m:t>
                </m: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sub>
            </m:sSub>
            <m:ctrlPr>
              <w:rPr>
                <w:rFonts w:hint="default" w:ascii="Cambria Math" w:hAnsi="Cambria Math" w:cs="宋体"/>
                <w:color w:val="auto"/>
                <w:highlight w:val="none"/>
                <w:shd w:val="clear" w:color="auto" w:fill="FFFFFF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sSubPr>
              <m:e>
                <m:r>
                  <m:rPr/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  <m:t>A</m:t>
                </m: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color w:val="auto"/>
                    <w:highlight w:val="none"/>
                    <w:shd w:val="clear" w:color="auto" w:fill="FFFFFF"/>
                    <w:lang w:val="en-US" w:eastAsia="zh-CN"/>
                  </w:rPr>
                  <m:t>标</m:t>
                </m: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sub>
            </m:sSub>
            <m:r>
              <m:rPr/>
              <w:rPr>
                <w:rFonts w:hint="default" w:ascii="Cambria Math" w:hAnsi="Cambria Math" w:cs="宋体"/>
                <w:color w:val="auto"/>
                <w:highlight w:val="none"/>
                <w:shd w:val="clear" w:color="auto" w:fill="FFFFFF"/>
              </w:rPr>
              <m:t>×</m:t>
            </m:r>
            <m:sSub>
              <m:sSubP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sSubPr>
              <m:e>
                <m:r>
                  <m:rPr/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  <m:t>V</m:t>
                </m: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color w:val="auto"/>
                    <w:highlight w:val="none"/>
                    <w:shd w:val="clear" w:color="auto" w:fill="FFFFFF"/>
                    <w:lang w:val="en-US" w:eastAsia="zh-CN"/>
                  </w:rPr>
                  <m:t>标</m:t>
                </m: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sub>
            </m:sSub>
            <m:r>
              <m:rPr/>
              <w:rPr>
                <w:rFonts w:hint="default" w:ascii="Cambria Math" w:hAnsi="Cambria Math" w:cs="宋体"/>
                <w:color w:val="auto"/>
                <w:highlight w:val="none"/>
                <w:shd w:val="clear" w:color="auto" w:fill="FFFFFF"/>
              </w:rPr>
              <m:t>×</m:t>
            </m:r>
            <m:sSub>
              <m:sSubP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sSubPr>
              <m:e>
                <m:r>
                  <m:rPr/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  <m:t>W</m:t>
                </m: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color w:val="auto"/>
                    <w:highlight w:val="none"/>
                    <w:shd w:val="clear" w:color="auto" w:fill="FFFFFF"/>
                  </w:rPr>
                  <m:t>供</m:t>
                </m:r>
                <m:ctrlPr>
                  <w:rPr>
                    <w:rFonts w:hint="default" w:ascii="Cambria Math" w:hAnsi="Cambria Math" w:cs="宋体"/>
                    <w:color w:val="auto"/>
                    <w:highlight w:val="none"/>
                    <w:shd w:val="clear" w:color="auto" w:fill="FFFFFF"/>
                  </w:rPr>
                </m:ctrlPr>
              </m:sub>
            </m:sSub>
            <m:ctrlPr>
              <w:rPr>
                <w:rFonts w:hint="default" w:ascii="Cambria Math" w:hAnsi="Cambria Math" w:cs="宋体"/>
                <w:color w:val="auto"/>
                <w:highlight w:val="none"/>
                <w:shd w:val="clear" w:color="auto" w:fill="FFFFFF"/>
              </w:rPr>
            </m:ctrlPr>
          </m:den>
        </m:f>
        <m:r>
          <m:rPr/>
          <w:rPr>
            <w:rFonts w:hint="default" w:ascii="Cambria Math" w:hAnsi="Cambria Math" w:cs="宋体"/>
            <w:color w:val="auto"/>
            <w:highlight w:val="none"/>
            <w:shd w:val="clear" w:color="auto" w:fill="FFFFFF"/>
          </w:rPr>
          <m:t>×100%</m:t>
        </m:r>
      </m:oMath>
      <w:r>
        <w:rPr>
          <w:rFonts w:ascii="微软雅黑" w:hAnsi="微软雅黑" w:eastAsia="微软雅黑"/>
          <w:color w:val="auto"/>
          <w:highlight w:val="none"/>
        </w:rPr>
        <w:tab/>
      </w:r>
      <w:r>
        <w:rPr>
          <w:color w:val="auto"/>
          <w:highlight w:val="none"/>
        </w:rPr>
        <w:t>(</w:t>
      </w: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color w:val="auto"/>
          <w:highlight w:val="none"/>
        </w:rPr>
        <w:t>)</w:t>
      </w:r>
    </w:p>
    <w:p>
      <w:pPr>
        <w:pStyle w:val="276"/>
        <w:ind w:firstLine="42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式中：</w:t>
      </w:r>
      <w:r>
        <w:rPr>
          <w:rFonts w:hint="eastAsia"/>
          <w:i/>
          <w:color w:val="auto"/>
          <w:highlight w:val="none"/>
          <w:lang w:val="en-US" w:eastAsia="zh-CN"/>
        </w:rPr>
        <w:t>A</w:t>
      </w:r>
      <w:r>
        <w:rPr>
          <w:rFonts w:hint="eastAsia"/>
          <w:i/>
          <w:color w:val="auto"/>
          <w:highlight w:val="none"/>
          <w:vertAlign w:val="subscript"/>
          <w:lang w:val="en-US" w:eastAsia="zh-CN"/>
        </w:rPr>
        <w:t>供</w:t>
      </w:r>
      <w:r>
        <w:rPr>
          <w:rFonts w:hint="eastAsia"/>
          <w:color w:val="auto"/>
          <w:highlight w:val="none"/>
        </w:rPr>
        <w:t>—供试品溶液的醋酸峰面积；</w:t>
      </w:r>
    </w:p>
    <w:p>
      <w:pPr>
        <w:pStyle w:val="269"/>
        <w:ind w:firstLine="1058" w:firstLineChars="504"/>
        <w:rPr>
          <w:color w:val="auto"/>
          <w:highlight w:val="none"/>
        </w:rPr>
      </w:pPr>
      <w:r>
        <w:rPr>
          <w:rFonts w:hint="eastAsia"/>
          <w:i/>
          <w:color w:val="auto"/>
          <w:highlight w:val="none"/>
        </w:rPr>
        <w:t>A</w:t>
      </w:r>
      <w:r>
        <w:rPr>
          <w:rFonts w:hint="eastAsia" w:ascii="Times New Roman"/>
          <w:i/>
          <w:color w:val="auto"/>
          <w:szCs w:val="24"/>
          <w:highlight w:val="none"/>
          <w:vertAlign w:val="subscript"/>
          <w:lang w:val="en-US" w:eastAsia="zh-CN"/>
        </w:rPr>
        <w:t>标</w:t>
      </w:r>
      <w:r>
        <w:rPr>
          <w:rFonts w:hint="eastAsia"/>
          <w:color w:val="auto"/>
          <w:highlight w:val="none"/>
        </w:rPr>
        <w:t>—</w:t>
      </w:r>
      <w:r>
        <w:rPr>
          <w:rFonts w:hint="eastAsia"/>
          <w:color w:val="auto"/>
          <w:highlight w:val="none"/>
          <w:lang w:val="en-US" w:eastAsia="zh-CN"/>
        </w:rPr>
        <w:t>标准</w:t>
      </w:r>
      <w:r>
        <w:rPr>
          <w:rFonts w:hint="eastAsia"/>
          <w:color w:val="auto"/>
          <w:highlight w:val="none"/>
        </w:rPr>
        <w:t>品溶液的醋酸峰面积；</w:t>
      </w:r>
    </w:p>
    <w:p>
      <w:pPr>
        <w:pStyle w:val="269"/>
        <w:ind w:firstLine="1058" w:firstLineChars="504"/>
        <w:rPr>
          <w:color w:val="auto"/>
          <w:highlight w:val="none"/>
        </w:rPr>
      </w:pPr>
      <w:r>
        <w:rPr>
          <w:rFonts w:hint="eastAsia"/>
          <w:i/>
          <w:color w:val="auto"/>
          <w:highlight w:val="none"/>
        </w:rPr>
        <w:t>W</w:t>
      </w:r>
      <w:r>
        <w:rPr>
          <w:rFonts w:hint="eastAsia"/>
          <w:i/>
          <w:color w:val="auto"/>
          <w:highlight w:val="none"/>
          <w:vertAlign w:val="subscript"/>
        </w:rPr>
        <w:t>供</w:t>
      </w:r>
      <w:r>
        <w:rPr>
          <w:rFonts w:hint="eastAsia"/>
          <w:color w:val="auto"/>
          <w:highlight w:val="none"/>
        </w:rPr>
        <w:t>—供试品的称样量（mg）；</w:t>
      </w:r>
    </w:p>
    <w:p>
      <w:pPr>
        <w:pStyle w:val="269"/>
        <w:ind w:firstLine="1058" w:firstLineChars="504"/>
        <w:rPr>
          <w:color w:val="auto"/>
          <w:highlight w:val="none"/>
        </w:rPr>
      </w:pPr>
      <w:r>
        <w:rPr>
          <w:rFonts w:hint="eastAsia"/>
          <w:i/>
          <w:color w:val="auto"/>
          <w:highlight w:val="none"/>
        </w:rPr>
        <w:t>W</w:t>
      </w:r>
      <w:r>
        <w:rPr>
          <w:rFonts w:hint="eastAsia" w:ascii="Times New Roman"/>
          <w:i/>
          <w:color w:val="auto"/>
          <w:szCs w:val="24"/>
          <w:highlight w:val="none"/>
          <w:vertAlign w:val="subscript"/>
          <w:lang w:val="en-US" w:eastAsia="zh-CN"/>
        </w:rPr>
        <w:t>标</w:t>
      </w:r>
      <w:r>
        <w:rPr>
          <w:rFonts w:hint="eastAsia"/>
          <w:color w:val="auto"/>
          <w:highlight w:val="none"/>
        </w:rPr>
        <w:t>—</w:t>
      </w:r>
      <w:r>
        <w:rPr>
          <w:rFonts w:hint="eastAsia"/>
          <w:color w:val="auto"/>
          <w:highlight w:val="none"/>
          <w:lang w:val="en-US" w:eastAsia="zh-CN"/>
        </w:rPr>
        <w:t>标准</w:t>
      </w:r>
      <w:r>
        <w:rPr>
          <w:rFonts w:hint="eastAsia"/>
          <w:color w:val="auto"/>
          <w:highlight w:val="none"/>
        </w:rPr>
        <w:t>品的称样量（mg）；</w:t>
      </w:r>
    </w:p>
    <w:p>
      <w:pPr>
        <w:pStyle w:val="269"/>
        <w:ind w:firstLine="1058" w:firstLineChars="504"/>
        <w:rPr>
          <w:color w:val="auto"/>
          <w:highlight w:val="none"/>
        </w:rPr>
      </w:pPr>
      <w:r>
        <w:rPr>
          <w:rFonts w:hint="eastAsia"/>
          <w:i/>
          <w:color w:val="auto"/>
          <w:highlight w:val="none"/>
        </w:rPr>
        <w:t>V</w:t>
      </w:r>
      <w:r>
        <w:rPr>
          <w:rFonts w:hint="eastAsia"/>
          <w:i/>
          <w:color w:val="auto"/>
          <w:highlight w:val="none"/>
          <w:vertAlign w:val="subscript"/>
        </w:rPr>
        <w:t>供</w:t>
      </w:r>
      <w:r>
        <w:rPr>
          <w:rFonts w:hint="eastAsia"/>
          <w:color w:val="auto"/>
          <w:highlight w:val="none"/>
        </w:rPr>
        <w:t>—供试品稀释倍数</w:t>
      </w:r>
      <w:r>
        <w:rPr>
          <w:rFonts w:hint="eastAsia"/>
          <w:color w:val="auto"/>
          <w:highlight w:val="none"/>
          <w:lang w:eastAsia="zh-CN"/>
        </w:rPr>
        <w:t>；</w:t>
      </w:r>
    </w:p>
    <w:p>
      <w:pPr>
        <w:pStyle w:val="269"/>
        <w:ind w:firstLine="1058" w:firstLineChars="504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i/>
          <w:color w:val="auto"/>
          <w:highlight w:val="none"/>
        </w:rPr>
        <w:t>V</w:t>
      </w:r>
      <w:r>
        <w:rPr>
          <w:rFonts w:hint="eastAsia" w:ascii="Times New Roman"/>
          <w:i/>
          <w:color w:val="auto"/>
          <w:szCs w:val="24"/>
          <w:highlight w:val="none"/>
          <w:vertAlign w:val="subscript"/>
          <w:lang w:val="en-US" w:eastAsia="zh-CN"/>
        </w:rPr>
        <w:t>标</w:t>
      </w:r>
      <w:r>
        <w:rPr>
          <w:rFonts w:hint="eastAsia"/>
          <w:color w:val="auto"/>
          <w:highlight w:val="none"/>
        </w:rPr>
        <w:t>—</w:t>
      </w:r>
      <w:r>
        <w:rPr>
          <w:rFonts w:hint="eastAsia"/>
          <w:color w:val="auto"/>
          <w:highlight w:val="none"/>
          <w:lang w:val="en-US" w:eastAsia="zh-CN"/>
        </w:rPr>
        <w:t>标准</w:t>
      </w:r>
      <w:r>
        <w:rPr>
          <w:rFonts w:hint="eastAsia"/>
          <w:color w:val="auto"/>
          <w:highlight w:val="none"/>
        </w:rPr>
        <w:t>品稀释倍数。</w:t>
      </w:r>
    </w:p>
    <w:bookmarkEnd w:id="43"/>
    <w:bookmarkEnd w:id="44"/>
    <w:bookmarkEnd w:id="45"/>
    <w:bookmarkEnd w:id="46"/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</w:rPr>
      </w:pPr>
      <w:r>
        <w:rPr>
          <w:rFonts w:hint="eastAsia" w:ascii="黑体" w:hAnsi="黑体" w:eastAsia="黑体" w:cs="黑体"/>
          <w:b w:val="0"/>
          <w:bCs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菌落总数</w:t>
      </w:r>
    </w:p>
    <w:p>
      <w:pPr>
        <w:pStyle w:val="14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Chars="0" w:firstLine="420" w:firstLineChars="200"/>
        <w:textAlignment w:val="auto"/>
        <w:rPr>
          <w:rFonts w:hint="eastAsia" w:ascii="宋体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0"/>
          <w:highlight w:val="none"/>
          <w:shd w:val="clear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highlight w:val="none"/>
        </w:rPr>
        <w:t>按照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1"/>
          <w:szCs w:val="21"/>
          <w:highlight w:val="none"/>
          <w:shd w:val="clear" w:color="auto" w:fill="auto"/>
          <w:lang w:val="en-US" w:eastAsia="zh-CN" w:bidi="ar"/>
        </w:rPr>
        <w:t>《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化妆品安全技术规范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1"/>
          <w:szCs w:val="21"/>
          <w:highlight w:val="none"/>
          <w:shd w:val="clear" w:color="auto" w:fill="auto"/>
          <w:lang w:val="en-US" w:eastAsia="zh-CN" w:bidi="ar"/>
        </w:rPr>
        <w:t>》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2015</w:t>
      </w:r>
      <w:r>
        <w:rPr>
          <w:rFonts w:hint="eastAsia" w:ascii="宋体" w:hAnsi="Times New Roman" w:eastAsia="宋体" w:cs="Times New Roman"/>
          <w:b w:val="0"/>
          <w:bCs w:val="0"/>
          <w:color w:val="auto"/>
          <w:spacing w:val="0"/>
          <w:sz w:val="21"/>
          <w:szCs w:val="20"/>
          <w:highlight w:val="none"/>
          <w:shd w:val="clear"/>
          <w:lang w:val="en-US" w:eastAsia="zh-CN"/>
        </w:rPr>
        <w:t>版</w:t>
      </w:r>
      <w:r>
        <w:rPr>
          <w:rFonts w:hint="eastAsia" w:ascii="宋体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规定的方法</w:t>
      </w:r>
      <w:r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测定</w:t>
      </w:r>
      <w:r>
        <w:rPr>
          <w:rFonts w:hint="eastAsia" w:ascii="宋体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0"/>
          <w:highlight w:val="none"/>
          <w:shd w:val="clear"/>
          <w:lang w:val="en-US" w:eastAsia="zh-CN" w:bidi="ar-SA"/>
        </w:rPr>
        <w:t>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  <w:shd w:val="clear" w:color="auto" w:fill="auto"/>
        </w:rPr>
      </w:pPr>
      <w:r>
        <w:rPr>
          <w:rFonts w:hint="eastAsia" w:ascii="黑体" w:hAnsi="黑体" w:eastAsia="黑体" w:cs="黑体"/>
          <w:b w:val="0"/>
          <w:bCs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霉菌和酵母菌</w:t>
      </w:r>
    </w:p>
    <w:p>
      <w:pPr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1"/>
          <w:szCs w:val="21"/>
          <w:highlight w:val="none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pacing w:val="0"/>
          <w:highlight w:val="none"/>
        </w:rPr>
        <w:t>按照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1"/>
          <w:szCs w:val="21"/>
          <w:highlight w:val="none"/>
          <w:shd w:val="clear" w:color="auto" w:fill="auto"/>
          <w:lang w:val="en-US" w:eastAsia="zh-CN" w:bidi="ar"/>
        </w:rPr>
        <w:t>《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化妆品安全技术规范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1"/>
          <w:szCs w:val="21"/>
          <w:highlight w:val="none"/>
          <w:shd w:val="clear" w:color="auto" w:fill="auto"/>
          <w:lang w:val="en-US" w:eastAsia="zh-CN" w:bidi="ar"/>
        </w:rPr>
        <w:t>》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2015版</w:t>
      </w:r>
      <w:r>
        <w:rPr>
          <w:rFonts w:hint="eastAsia" w:ascii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规定的</w:t>
      </w:r>
      <w:r>
        <w:rPr>
          <w:rFonts w:hint="eastAsia" w:ascii="宋体" w:hAnsi="Times New Roman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方法</w:t>
      </w:r>
      <w:r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测定。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乙腈</w:t>
      </w:r>
    </w:p>
    <w:p>
      <w:pPr>
        <w:pStyle w:val="143"/>
        <w:shd w:val="clear"/>
        <w:rPr>
          <w:rFonts w:hint="eastAsia" w:eastAsia="宋体"/>
          <w:color w:val="auto"/>
          <w:highlight w:val="none"/>
          <w:lang w:eastAsia="zh-CN"/>
        </w:rPr>
      </w:pPr>
      <w:r>
        <w:rPr>
          <w:color w:val="auto"/>
          <w:spacing w:val="0"/>
          <w:highlight w:val="none"/>
        </w:rPr>
        <w:t>按照《化妆品安全技术规范》2015年版</w:t>
      </w:r>
      <w:r>
        <w:rPr>
          <w:rFonts w:hint="eastAsia"/>
          <w:color w:val="auto"/>
          <w:spacing w:val="0"/>
          <w:highlight w:val="none"/>
          <w:lang w:val="en-US" w:eastAsia="zh-CN"/>
        </w:rPr>
        <w:t>第四章2.33乙醇等37种组分</w:t>
      </w:r>
      <w:r>
        <w:rPr>
          <w:color w:val="auto"/>
          <w:spacing w:val="0"/>
          <w:highlight w:val="none"/>
        </w:rPr>
        <w:t>规</w:t>
      </w:r>
      <w:r>
        <w:rPr>
          <w:rFonts w:hint="eastAsia"/>
          <w:color w:val="auto"/>
          <w:spacing w:val="0"/>
          <w:highlight w:val="none"/>
        </w:rPr>
        <w:t>定的方法</w:t>
      </w:r>
      <w:r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lang w:val="en-US" w:eastAsia="zh-CN" w:bidi="ar"/>
        </w:rPr>
        <w:t>测定</w:t>
      </w:r>
      <w:r>
        <w:rPr>
          <w:rFonts w:hint="eastAsia"/>
          <w:color w:val="auto"/>
          <w:spacing w:val="0"/>
          <w:highlight w:val="none"/>
          <w:lang w:eastAsia="zh-CN"/>
        </w:rPr>
        <w:t>。</w:t>
      </w:r>
    </w:p>
    <w:p>
      <w:pPr>
        <w:pStyle w:val="14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铅</w:t>
      </w:r>
    </w:p>
    <w:p>
      <w:pPr>
        <w:pStyle w:val="269"/>
        <w:ind w:firstLine="420"/>
      </w:pPr>
      <w:r>
        <w:rPr>
          <w:rFonts w:hint="eastAsia"/>
        </w:rPr>
        <w:t>按照《化妆品</w:t>
      </w:r>
      <w:r>
        <w:t>安全技术规范》</w:t>
      </w:r>
      <w:r>
        <w:rPr>
          <w:rFonts w:hint="eastAsia"/>
        </w:rPr>
        <w:t>2015年版规定</w:t>
      </w:r>
      <w:r>
        <w:t>的方法检测</w:t>
      </w:r>
      <w:r>
        <w:rPr>
          <w:rFonts w:hint="eastAsia"/>
        </w:rPr>
        <w:t>。</w:t>
      </w:r>
    </w:p>
    <w:p>
      <w:pPr>
        <w:pStyle w:val="145"/>
        <w:shd w:val="clear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镉</w:t>
      </w:r>
    </w:p>
    <w:p>
      <w:pPr>
        <w:pStyle w:val="269"/>
        <w:ind w:firstLine="420"/>
      </w:pPr>
      <w:r>
        <w:rPr>
          <w:rFonts w:hint="eastAsia"/>
        </w:rPr>
        <w:t>按照《化妆品</w:t>
      </w:r>
      <w:r>
        <w:t>安全技术规范》</w:t>
      </w:r>
      <w:r>
        <w:rPr>
          <w:rFonts w:hint="eastAsia"/>
        </w:rPr>
        <w:t>2015年版规定</w:t>
      </w:r>
      <w:r>
        <w:t>的方法检测</w:t>
      </w:r>
      <w:r>
        <w:rPr>
          <w:rFonts w:hint="eastAsia"/>
        </w:rPr>
        <w:t>。</w:t>
      </w:r>
    </w:p>
    <w:p>
      <w:pPr>
        <w:pStyle w:val="145"/>
        <w:shd w:val="clear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砷</w:t>
      </w:r>
    </w:p>
    <w:p>
      <w:pPr>
        <w:pStyle w:val="269"/>
        <w:ind w:firstLine="420"/>
      </w:pPr>
      <w:r>
        <w:rPr>
          <w:rFonts w:hint="eastAsia"/>
        </w:rPr>
        <w:t>按照《化妆品</w:t>
      </w:r>
      <w:r>
        <w:t>安全技术规范》</w:t>
      </w:r>
      <w:r>
        <w:rPr>
          <w:rFonts w:hint="eastAsia"/>
        </w:rPr>
        <w:t>2015年版规定</w:t>
      </w:r>
      <w:r>
        <w:t>的方法检测</w:t>
      </w:r>
      <w:r>
        <w:rPr>
          <w:rFonts w:hint="eastAsia"/>
        </w:rPr>
        <w:t>。</w:t>
      </w:r>
    </w:p>
    <w:p>
      <w:pPr>
        <w:pStyle w:val="145"/>
        <w:shd w:val="clear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汞</w:t>
      </w:r>
    </w:p>
    <w:p>
      <w:pPr>
        <w:pStyle w:val="269"/>
        <w:ind w:firstLine="420"/>
      </w:pPr>
      <w:r>
        <w:rPr>
          <w:rFonts w:hint="eastAsia"/>
        </w:rPr>
        <w:t>按照《化妆品</w:t>
      </w:r>
      <w:r>
        <w:t>安全技术规范》</w:t>
      </w:r>
      <w:r>
        <w:rPr>
          <w:rFonts w:hint="eastAsia"/>
        </w:rPr>
        <w:t>2015年版规定</w:t>
      </w:r>
      <w:r>
        <w:t>的方法检测</w:t>
      </w:r>
      <w:r>
        <w:rPr>
          <w:rFonts w:hint="eastAsia"/>
        </w:rPr>
        <w:t>。</w:t>
      </w:r>
    </w:p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检验规则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eastAsia" w:ascii="黑体" w:eastAsia="黑体"/>
          <w:color w:val="auto"/>
          <w:spacing w:val="0"/>
          <w:highlight w:val="none"/>
        </w:rPr>
      </w:pPr>
      <w:r>
        <w:rPr>
          <w:rFonts w:hint="eastAsia" w:ascii="黑体"/>
          <w:color w:val="auto"/>
          <w:spacing w:val="0"/>
          <w:highlight w:val="none"/>
          <w:lang w:val="en-US" w:eastAsia="zh-CN"/>
        </w:rPr>
        <w:t>出厂检验</w:t>
      </w:r>
    </w:p>
    <w:p>
      <w:pPr>
        <w:pStyle w:val="14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Chars="0" w:firstLine="420" w:firstLineChars="200"/>
        <w:textAlignment w:val="auto"/>
        <w:rPr>
          <w:rFonts w:hint="eastAsia" w:ascii="黑体" w:eastAsia="黑体"/>
          <w:color w:val="auto"/>
          <w:spacing w:val="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highlight w:val="none"/>
          <w:lang w:val="en-US" w:eastAsia="zh-CN"/>
        </w:rPr>
        <w:t>该产品按批检验，检验项目为</w:t>
      </w:r>
      <w:r>
        <w:rPr>
          <w:rFonts w:hint="eastAsia" w:ascii="宋体" w:hAnsi="宋体" w:eastAsia="宋体" w:cs="宋体"/>
          <w:color w:val="auto"/>
          <w:spacing w:val="0"/>
          <w:highlight w:val="none"/>
        </w:rPr>
        <w:t>表1和表2中的项目（</w:t>
      </w:r>
      <w:r>
        <w:rPr>
          <w:rFonts w:hint="eastAsia" w:ascii="宋体" w:hAnsi="宋体" w:eastAsia="宋体" w:cs="宋体"/>
          <w:color w:val="auto"/>
          <w:spacing w:val="0"/>
          <w:highlight w:val="none"/>
          <w:lang w:val="en-US" w:eastAsia="zh-CN"/>
        </w:rPr>
        <w:t>乙腈、铅、镉、砷、汞</w:t>
      </w:r>
      <w:r>
        <w:rPr>
          <w:rFonts w:hint="eastAsia" w:ascii="宋体" w:hAnsi="宋体" w:eastAsia="宋体" w:cs="宋体"/>
          <w:color w:val="auto"/>
          <w:spacing w:val="0"/>
          <w:highlight w:val="none"/>
        </w:rPr>
        <w:t>除外）</w:t>
      </w:r>
      <w:r>
        <w:rPr>
          <w:rFonts w:hint="eastAsia" w:ascii="宋体" w:hAnsi="宋体" w:eastAsia="宋体" w:cs="宋体"/>
          <w:color w:val="auto"/>
          <w:spacing w:val="0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pacing w:val="0"/>
          <w:highlight w:val="none"/>
        </w:rPr>
        <w:t>生产商应保证出厂的每批产品都符合本标准要求。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eastAsia" w:ascii="黑体" w:eastAsia="黑体"/>
          <w:color w:val="auto"/>
          <w:spacing w:val="0"/>
          <w:highlight w:val="none"/>
        </w:rPr>
      </w:pPr>
      <w:r>
        <w:rPr>
          <w:rFonts w:hint="eastAsia" w:ascii="黑体" w:eastAsia="黑体"/>
          <w:color w:val="auto"/>
          <w:spacing w:val="0"/>
          <w:highlight w:val="none"/>
        </w:rPr>
        <w:t>型式检验</w:t>
      </w:r>
    </w:p>
    <w:p>
      <w:pPr>
        <w:pStyle w:val="33"/>
        <w:spacing w:before="125" w:line="242" w:lineRule="auto"/>
        <w:ind w:left="0" w:leftChars="0" w:right="426" w:firstLine="420" w:firstLineChars="200"/>
        <w:rPr>
          <w:rFonts w:hint="eastAsia" w:ascii="宋体" w:hAnsi="宋体" w:eastAsia="宋体" w:cs="宋体"/>
          <w:color w:val="auto"/>
          <w:spacing w:val="0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highlight w:val="none"/>
        </w:rPr>
        <w:t>型式检验每年应不少于1次，型式检验的项目为技术要求中的全部项目，有下列情况之一时，也应进行型式检验：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highlight w:val="none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spacing w:val="0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highlight w:val="none"/>
        </w:rPr>
        <w:t>当原料、工艺和设备发生重大改变时；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spacing w:val="0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highlight w:val="none"/>
        </w:rPr>
        <w:t>产品首次投产或停产6个月以上恢复生产时；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pacing w:val="0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highlight w:val="none"/>
        </w:rPr>
        <w:t>生产场所改变时；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highlight w:val="none"/>
          <w:lang w:val="en-US" w:eastAsia="zh-CN"/>
        </w:rPr>
        <w:t>d）</w:t>
      </w:r>
      <w:r>
        <w:rPr>
          <w:rFonts w:hint="eastAsia" w:ascii="宋体" w:hAnsi="宋体" w:eastAsia="宋体" w:cs="宋体"/>
          <w:color w:val="auto"/>
          <w:spacing w:val="0"/>
          <w:sz w:val="21"/>
          <w:highlight w:val="none"/>
        </w:rPr>
        <w:t>国家质量监督机构提出进行型式检验的要求时。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0"/>
          <w:sz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highlight w:val="none"/>
          <w:lang w:val="en-US" w:eastAsia="zh-CN"/>
        </w:rPr>
        <w:t>采样</w:t>
      </w:r>
    </w:p>
    <w:p>
      <w:pPr>
        <w:pStyle w:val="14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Chars="0"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highlight w:val="none"/>
          <w:lang w:val="en-US" w:eastAsia="zh-CN"/>
        </w:rPr>
        <w:t>应按照GB/T6678和GB/T6679中有关规定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highlight w:val="none"/>
          <w:lang w:val="en-US" w:eastAsia="zh-CN"/>
        </w:rPr>
        <w:t>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highlight w:val="none"/>
          <w:lang w:val="en-US" w:eastAsia="zh-CN"/>
        </w:rPr>
        <w:t>判定规则</w:t>
      </w:r>
    </w:p>
    <w:p>
      <w:pPr>
        <w:pStyle w:val="14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Chars="0"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highlight w:val="none"/>
        </w:rPr>
        <w:t>产品的各项技术指标检验结果若符合本</w:t>
      </w:r>
      <w:r>
        <w:rPr>
          <w:rFonts w:hint="eastAsia" w:ascii="宋体" w:hAnsi="宋体" w:eastAsia="宋体" w:cs="宋体"/>
          <w:color w:val="auto"/>
          <w:spacing w:val="0"/>
          <w:sz w:val="21"/>
          <w:highlight w:val="none"/>
          <w:lang w:val="en-US" w:eastAsia="zh-CN"/>
        </w:rPr>
        <w:t>文件</w:t>
      </w:r>
      <w:r>
        <w:rPr>
          <w:rFonts w:hint="eastAsia" w:ascii="宋体" w:hAnsi="宋体" w:eastAsia="宋体" w:cs="宋体"/>
          <w:color w:val="auto"/>
          <w:spacing w:val="0"/>
          <w:sz w:val="21"/>
          <w:highlight w:val="none"/>
        </w:rPr>
        <w:t>的规定，则判定为合格。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highlight w:val="none"/>
          <w:lang w:val="en-US" w:eastAsia="zh-CN"/>
        </w:rPr>
        <w:t>检验结果若有一项指标不符合本文件要求，应重新自双倍量的包装中取样，对不合格指标进行复检，复检合格，则判该批产品合格；如仍不合格，则判该批产品不合格。</w:t>
      </w:r>
    </w:p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标志、包装、运输、贮存、保质期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标志</w:t>
      </w:r>
    </w:p>
    <w:p>
      <w:pPr>
        <w:pStyle w:val="143"/>
        <w:rPr>
          <w:rFonts w:hint="eastAsia" w:hAnsi="宋体" w:eastAsia="宋体" w:cs="宋体"/>
          <w:b w:val="0"/>
          <w:bCs w:val="0"/>
          <w:color w:val="auto"/>
          <w:spacing w:val="0"/>
          <w:highlight w:val="none"/>
          <w:lang w:val="en-US" w:eastAsia="zh-CN"/>
        </w:rPr>
      </w:pPr>
      <w:r>
        <w:rPr>
          <w:rFonts w:hint="eastAsia" w:hAnsi="宋体" w:eastAsia="宋体" w:cs="宋体"/>
          <w:b w:val="0"/>
          <w:bCs w:val="0"/>
          <w:color w:val="auto"/>
          <w:spacing w:val="0"/>
          <w:highlight w:val="none"/>
          <w:lang w:val="en-US" w:eastAsia="zh-CN"/>
        </w:rPr>
        <w:t>包装标志应符合GB/T191中规定，</w:t>
      </w:r>
      <w:r>
        <w:rPr>
          <w:color w:val="auto"/>
          <w:spacing w:val="0"/>
          <w:highlight w:val="none"/>
        </w:rPr>
        <w:t>且应标注化妆品原料的使用指南或使用指南的图示。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default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包装</w:t>
      </w:r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本产品内用塑料瓶包装，应按明示的净重包装，外用瓦楞纸箱包装。</w:t>
      </w:r>
      <w:r>
        <w:rPr>
          <w:color w:val="auto"/>
          <w:spacing w:val="0"/>
          <w:highlight w:val="none"/>
        </w:rPr>
        <w:t>包装材料和容器应符合QB/T1685的规定。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default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运输</w:t>
      </w:r>
    </w:p>
    <w:p>
      <w:pPr>
        <w:pStyle w:val="143"/>
        <w:rPr>
          <w:rFonts w:hint="eastAsia" w:eastAsia="宋体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可常温运输，</w:t>
      </w:r>
      <w:r>
        <w:rPr>
          <w:color w:val="auto"/>
          <w:spacing w:val="0"/>
          <w:highlight w:val="none"/>
        </w:rPr>
        <w:t>运输工具应清洁、卫生。</w:t>
      </w:r>
      <w:r>
        <w:rPr>
          <w:rFonts w:hint="eastAsia"/>
          <w:color w:val="auto"/>
          <w:spacing w:val="0"/>
          <w:highlight w:val="none"/>
          <w:lang w:val="en-US" w:eastAsia="zh-CN"/>
        </w:rPr>
        <w:t>产品在运输过程中应避免日晒、雨淋。</w:t>
      </w:r>
      <w:r>
        <w:rPr>
          <w:color w:val="auto"/>
          <w:spacing w:val="0"/>
          <w:highlight w:val="none"/>
        </w:rPr>
        <w:t>搬运时应轻拿轻放，严禁摔撞</w:t>
      </w:r>
      <w:r>
        <w:rPr>
          <w:rFonts w:hint="eastAsia"/>
          <w:color w:val="auto"/>
          <w:spacing w:val="0"/>
          <w:highlight w:val="none"/>
          <w:lang w:eastAsia="zh-CN"/>
        </w:rPr>
        <w:t>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default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贮存</w:t>
      </w:r>
    </w:p>
    <w:p>
      <w:pPr>
        <w:pStyle w:val="14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default" w:eastAsia="宋体"/>
          <w:color w:val="auto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避光</w:t>
      </w: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lang w:eastAsia="zh-CN"/>
        </w:rPr>
        <w:t>、</w:t>
      </w: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干燥处，2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℃—8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℃冷藏、</w:t>
      </w:r>
      <w:r>
        <w:rPr>
          <w:rFonts w:ascii="宋体" w:hAnsi="宋体" w:eastAsia="宋体" w:cs="宋体"/>
          <w:color w:val="auto"/>
          <w:spacing w:val="0"/>
          <w:sz w:val="21"/>
          <w:szCs w:val="21"/>
          <w:highlight w:val="none"/>
        </w:rPr>
        <w:t>密封保存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可常温运输。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default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保质期</w:t>
      </w:r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在符合本文件规定的运输和贮存条件下，产品在包装完整和未经启封情况下，保质期按销售包装标注执行。</w:t>
      </w:r>
      <w:bookmarkStart w:id="47" w:name="_Toc225940569"/>
      <w:bookmarkEnd w:id="47"/>
      <w:bookmarkStart w:id="48" w:name="_Toc225940364"/>
      <w:bookmarkEnd w:id="48"/>
      <w:bookmarkStart w:id="49" w:name="_Toc225940339"/>
      <w:bookmarkEnd w:id="49"/>
      <w:bookmarkStart w:id="50" w:name="_Toc225940290"/>
      <w:bookmarkEnd w:id="50"/>
      <w:bookmarkStart w:id="51" w:name="_Toc225940189"/>
      <w:bookmarkEnd w:id="51"/>
      <w:bookmarkStart w:id="52" w:name="_Toc224443034"/>
      <w:bookmarkEnd w:id="52"/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jc w:val="center"/>
        <w:rPr>
          <w:rFonts w:hint="default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附录A</w:t>
      </w:r>
    </w:p>
    <w:p>
      <w:pPr>
        <w:pStyle w:val="143"/>
        <w:jc w:val="center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（资料性附录）</w:t>
      </w:r>
    </w:p>
    <w:p>
      <w:pPr>
        <w:pStyle w:val="143"/>
        <w:ind w:firstLine="0" w:firstLineChars="0"/>
        <w:jc w:val="center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六肽-11对照品和醋酸标准品的高效液相色谱标准图谱</w:t>
      </w:r>
    </w:p>
    <w:p>
      <w:pPr>
        <w:pStyle w:val="143"/>
        <w:ind w:firstLine="0" w:firstLineChars="0"/>
        <w:jc w:val="both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jc w:val="center"/>
        <w:rPr>
          <w:rFonts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pStyle w:val="143"/>
        <w:jc w:val="center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drawing>
          <wp:inline distT="0" distB="0" distL="114300" distR="114300">
            <wp:extent cx="5734050" cy="1813560"/>
            <wp:effectExtent l="0" t="0" r="0" b="15240"/>
            <wp:docPr id="1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rcRect t="7959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3"/>
        <w:jc w:val="center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spacing w:val="0"/>
          <w:lang w:val="en-US" w:eastAsia="zh-CN"/>
        </w:rPr>
        <w:t>图A.1 六肽-11 高效液相色谱对照品图谱</w:t>
      </w:r>
    </w:p>
    <w:p>
      <w:pPr>
        <w:pStyle w:val="143"/>
        <w:jc w:val="center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jc w:val="center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jc w:val="center"/>
        <w:rPr>
          <w:rFonts w:hint="default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drawing>
          <wp:inline distT="0" distB="0" distL="114300" distR="114300">
            <wp:extent cx="5938520" cy="2153920"/>
            <wp:effectExtent l="0" t="0" r="5080" b="17780"/>
            <wp:docPr id="10" name="图片 10" descr="六肽-11醋酸标准图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六肽-11醋酸标准图谱"/>
                    <pic:cNvPicPr>
                      <a:picLocks noChangeAspect="1"/>
                    </pic:cNvPicPr>
                  </pic:nvPicPr>
                  <pic:blipFill>
                    <a:blip r:embed="rId19"/>
                    <a:srcRect t="12739"/>
                    <a:stretch>
                      <a:fillRect/>
                    </a:stretch>
                  </pic:blipFill>
                  <pic:spPr>
                    <a:xfrm>
                      <a:off x="0" y="0"/>
                      <a:ext cx="5938520" cy="215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3"/>
        <w:jc w:val="center"/>
        <w:rPr>
          <w:rFonts w:hint="eastAsia" w:ascii="黑体" w:hAnsi="黑体" w:eastAsia="黑体" w:cs="黑体"/>
          <w:spacing w:val="0"/>
          <w:lang w:val="en-US" w:eastAsia="zh-CN"/>
        </w:rPr>
      </w:pPr>
      <w:r>
        <w:rPr>
          <w:rFonts w:hint="eastAsia" w:ascii="黑体" w:hAnsi="黑体" w:eastAsia="黑体" w:cs="黑体"/>
          <w:spacing w:val="0"/>
          <w:lang w:val="en-US" w:eastAsia="zh-CN"/>
        </w:rPr>
        <w:t>图A.2 醋酸标准品 高效液相色谱标准图谱</w:t>
      </w:r>
    </w:p>
    <w:p>
      <w:pPr>
        <w:pStyle w:val="269"/>
        <w:ind w:firstLine="0" w:firstLineChars="0"/>
        <w:jc w:val="center"/>
        <w:rPr>
          <w:rFonts w:hint="default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drawing>
          <wp:inline distT="0" distB="0" distL="114300" distR="114300">
            <wp:extent cx="1485900" cy="317500"/>
            <wp:effectExtent l="0" t="0" r="0" b="6350"/>
            <wp:docPr id="12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3"/>
        <w:ind w:firstLine="0" w:firstLineChars="0"/>
        <w:jc w:val="both"/>
        <w:rPr>
          <w:rFonts w:hint="default"/>
          <w:color w:val="auto"/>
          <w:spacing w:val="0"/>
          <w:highlight w:val="none"/>
          <w:lang w:val="en-US" w:eastAsia="zh-CN"/>
        </w:rPr>
      </w:pPr>
    </w:p>
    <w:sectPr>
      <w:footerReference r:id="rId11" w:type="default"/>
      <w:headerReference r:id="rId10" w:type="even"/>
      <w:footerReference r:id="rId12" w:type="even"/>
      <w:pgSz w:w="11907" w:h="16839"/>
      <w:pgMar w:top="1418" w:right="1134" w:bottom="1134" w:left="1418" w:header="1418" w:footer="851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9"/>
      <w:framePr w:wrap="around" w:vAnchor="text" w:hAnchor="margin" w:xAlign="right" w:y="1"/>
      <w:rPr>
        <w:rStyle w:val="118"/>
      </w:rPr>
    </w:pPr>
    <w:r>
      <w:rPr>
        <w:rStyle w:val="118"/>
      </w:rPr>
      <w:fldChar w:fldCharType="begin"/>
    </w:r>
    <w:r>
      <w:rPr>
        <w:rStyle w:val="118"/>
      </w:rPr>
      <w:instrText xml:space="preserve">PAGE  </w:instrText>
    </w:r>
    <w:r>
      <w:rPr>
        <w:rStyle w:val="118"/>
      </w:rPr>
      <w:fldChar w:fldCharType="separate"/>
    </w:r>
    <w:r>
      <w:rPr>
        <w:rStyle w:val="118"/>
      </w:rPr>
      <w:t>2</w:t>
    </w:r>
    <w:r>
      <w:rPr>
        <w:rStyle w:val="118"/>
      </w:rPr>
      <w:fldChar w:fldCharType="end"/>
    </w:r>
  </w:p>
  <w:p>
    <w:pPr>
      <w:pStyle w:val="4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9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7"/>
      <w:tabs>
        <w:tab w:val="center" w:pos="4737"/>
        <w:tab w:val="right" w:pos="9355"/>
      </w:tabs>
      <w:jc w:val="left"/>
      <w:rPr>
        <w:rStyle w:val="1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9"/>
      <w:ind w:left="1188" w:firstLine="360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H9VrZDdAQAAvw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9"/>
      <w:framePr w:wrap="around" w:vAnchor="text" w:hAnchor="margin" w:xAlign="outside" w:y="1"/>
      <w:ind w:left="1188" w:hanging="432"/>
      <w:rPr>
        <w:rStyle w:val="118"/>
      </w:rPr>
    </w:pPr>
    <w:r>
      <w:rPr>
        <w:rStyle w:val="118"/>
      </w:rPr>
      <w:fldChar w:fldCharType="begin"/>
    </w:r>
    <w:r>
      <w:rPr>
        <w:rStyle w:val="118"/>
      </w:rPr>
      <w:instrText xml:space="preserve">PAGE  </w:instrText>
    </w:r>
    <w:r>
      <w:rPr>
        <w:rStyle w:val="118"/>
      </w:rPr>
      <w:fldChar w:fldCharType="end"/>
    </w:r>
  </w:p>
  <w:p>
    <w:pPr>
      <w:pStyle w:val="49"/>
      <w:ind w:left="1188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8"/>
    </w:pPr>
    <w:r>
      <w:t>GB/T ××××—××××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  <w:r>
      <w:t>GB/T ××××—</w:t>
    </w:r>
    <w:r>
      <w:rPr>
        <w:rFonts w:hint="eastAsia"/>
      </w:rPr>
      <w:t>2008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0"/>
    </w:pPr>
    <w:r>
      <w:t xml:space="preserve">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8"/>
      <w:rPr>
        <w:rFonts w:hint="default"/>
        <w:lang w:val="en-US" w:eastAsia="zh-CN"/>
      </w:rPr>
    </w:pPr>
    <w:r>
      <w:rPr>
        <w:rFonts w:hint="eastAsia" w:hAnsi="黑体"/>
      </w:rPr>
      <w:t>T</w:t>
    </w:r>
    <w:r>
      <w:rPr>
        <w:rFonts w:hAnsi="黑体"/>
      </w:rPr>
      <w:t>/</w:t>
    </w:r>
    <w:r>
      <w:rPr>
        <w:rFonts w:hint="eastAsia" w:hAnsi="黑体"/>
      </w:rPr>
      <w:t>CAFFCI</w:t>
    </w:r>
    <w:r>
      <w:rPr>
        <w:rFonts w:hAnsi="黑体"/>
      </w:rPr>
      <w:t xml:space="preserve"> </w:t>
    </w:r>
    <w:r>
      <w:rPr>
        <w:rFonts w:hint="eastAsia" w:hAnsi="黑体"/>
      </w:rPr>
      <w:t>XXXX</w:t>
    </w:r>
    <w:r>
      <w:rPr>
        <w:rFonts w:hAnsi="黑体"/>
      </w:rPr>
      <w:t>—</w:t>
    </w:r>
    <w:r>
      <w:rPr>
        <w:rFonts w:hint="eastAsia" w:hAnsi="黑体"/>
      </w:rPr>
      <w:t>XXXX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1"/>
      <w:ind w:left="1188" w:hanging="432"/>
    </w:pPr>
  </w:p>
  <w:p/>
  <w:p/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9A8CCB"/>
    <w:multiLevelType w:val="singleLevel"/>
    <w:tmpl w:val="BF9A8CCB"/>
    <w:lvl w:ilvl="0" w:tentative="0">
      <w:start w:val="1"/>
      <w:numFmt w:val="lowerLetter"/>
      <w:suff w:val="nothing"/>
      <w:lvlText w:val="%1）"/>
      <w:lvlJc w:val="left"/>
    </w:lvl>
  </w:abstractNum>
  <w:abstractNum w:abstractNumId="1">
    <w:nsid w:val="CF1DAA19"/>
    <w:multiLevelType w:val="singleLevel"/>
    <w:tmpl w:val="CF1DAA19"/>
    <w:lvl w:ilvl="0" w:tentative="0">
      <w:start w:val="1"/>
      <w:numFmt w:val="lowerLetter"/>
      <w:suff w:val="nothing"/>
      <w:lvlText w:val="%1）"/>
      <w:lvlJc w:val="left"/>
    </w:lvl>
  </w:abstractNum>
  <w:abstractNum w:abstractNumId="2">
    <w:nsid w:val="DD50930C"/>
    <w:multiLevelType w:val="multilevel"/>
    <w:tmpl w:val="DD50930C"/>
    <w:lvl w:ilvl="0" w:tentative="0">
      <w:start w:val="6"/>
      <w:numFmt w:val="decimal"/>
      <w:pStyle w:val="3"/>
      <w:lvlText w:val="%1."/>
      <w:lvlJc w:val="left"/>
      <w:pPr>
        <w:ind w:left="432" w:hanging="432"/>
      </w:pPr>
      <w:rPr>
        <w:rFonts w:hint="default" w:ascii="宋体" w:hAnsi="宋体" w:eastAsia="宋体" w:cs="宋体"/>
      </w:rPr>
    </w:lvl>
    <w:lvl w:ilvl="1" w:tentative="0">
      <w:start w:val="7"/>
      <w:numFmt w:val="decimal"/>
      <w:pStyle w:val="4"/>
      <w:lvlText w:val="%1.%2.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4"/>
      <w:numFmt w:val="decimal"/>
      <w:pStyle w:val="5"/>
      <w:lvlText w:val="%1.%2.%3."/>
      <w:lvlJc w:val="left"/>
      <w:pPr>
        <w:ind w:left="720" w:hanging="720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6"/>
      <w:lvlText w:val="%1.%2.%3.%4."/>
      <w:lvlJc w:val="left"/>
      <w:pPr>
        <w:ind w:left="864" w:hanging="864"/>
      </w:pPr>
      <w:rPr>
        <w:rFonts w:hint="default" w:ascii="宋体" w:hAnsi="宋体" w:eastAsia="宋体" w:cs="宋体"/>
      </w:rPr>
    </w:lvl>
    <w:lvl w:ilvl="4" w:tentative="0">
      <w:start w:val="1"/>
      <w:numFmt w:val="decimal"/>
      <w:pStyle w:val="7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9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DEF45B04"/>
    <w:multiLevelType w:val="multilevel"/>
    <w:tmpl w:val="DEF45B04"/>
    <w:lvl w:ilvl="0" w:tentative="0">
      <w:start w:val="1"/>
      <w:numFmt w:val="none"/>
      <w:pStyle w:val="141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144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145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47"/>
      <w:suff w:val="nothing"/>
      <w:lvlText w:val="%1%2.%3.%4　"/>
      <w:lvlJc w:val="left"/>
      <w:pPr>
        <w:tabs>
          <w:tab w:val="left" w:pos="0"/>
        </w:tabs>
        <w:ind w:left="0" w:firstLine="0"/>
      </w:pPr>
      <w:rPr>
        <w:rFonts w:hint="default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78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82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86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FFFFFF7C"/>
    <w:multiLevelType w:val="singleLevel"/>
    <w:tmpl w:val="FFFFFF7C"/>
    <w:lvl w:ilvl="0" w:tentative="0">
      <w:start w:val="1"/>
      <w:numFmt w:val="decimal"/>
      <w:pStyle w:val="5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5">
    <w:nsid w:val="FFFFFF7D"/>
    <w:multiLevelType w:val="singleLevel"/>
    <w:tmpl w:val="FFFFFF7D"/>
    <w:lvl w:ilvl="0" w:tentative="0">
      <w:start w:val="1"/>
      <w:numFmt w:val="decimal"/>
      <w:pStyle w:val="4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6">
    <w:nsid w:val="FFFFFF7E"/>
    <w:multiLevelType w:val="singleLevel"/>
    <w:tmpl w:val="FFFFFF7E"/>
    <w:lvl w:ilvl="0" w:tentative="0">
      <w:start w:val="1"/>
      <w:numFmt w:val="decimal"/>
      <w:pStyle w:val="35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7">
    <w:nsid w:val="FFFFFF7F"/>
    <w:multiLevelType w:val="singleLevel"/>
    <w:tmpl w:val="FFFFFF7F"/>
    <w:lvl w:ilvl="0" w:tentative="0">
      <w:start w:val="1"/>
      <w:numFmt w:val="decimal"/>
      <w:pStyle w:val="20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8">
    <w:nsid w:val="FFFFFF80"/>
    <w:multiLevelType w:val="singleLevel"/>
    <w:tmpl w:val="FFFFFF80"/>
    <w:lvl w:ilvl="0" w:tentative="0">
      <w:start w:val="1"/>
      <w:numFmt w:val="bullet"/>
      <w:pStyle w:val="42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9">
    <w:nsid w:val="FFFFFF81"/>
    <w:multiLevelType w:val="singleLevel"/>
    <w:tmpl w:val="FFFFFF81"/>
    <w:lvl w:ilvl="0" w:tentative="0">
      <w:start w:val="1"/>
      <w:numFmt w:val="bullet"/>
      <w:pStyle w:val="2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10">
    <w:nsid w:val="FFFFFF82"/>
    <w:multiLevelType w:val="singleLevel"/>
    <w:tmpl w:val="FFFFFF82"/>
    <w:lvl w:ilvl="0" w:tentative="0">
      <w:start w:val="1"/>
      <w:numFmt w:val="bullet"/>
      <w:pStyle w:val="32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11">
    <w:nsid w:val="FFFFFF83"/>
    <w:multiLevelType w:val="singleLevel"/>
    <w:tmpl w:val="FFFFFF83"/>
    <w:lvl w:ilvl="0" w:tentative="0">
      <w:start w:val="1"/>
      <w:numFmt w:val="bullet"/>
      <w:pStyle w:val="39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12">
    <w:nsid w:val="FFFFFF88"/>
    <w:multiLevelType w:val="singleLevel"/>
    <w:tmpl w:val="FFFFFF88"/>
    <w:lvl w:ilvl="0" w:tentative="0">
      <w:start w:val="1"/>
      <w:numFmt w:val="decimal"/>
      <w:pStyle w:val="2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>
    <w:nsid w:val="FFFFFF89"/>
    <w:multiLevelType w:val="singleLevel"/>
    <w:tmpl w:val="FFFFFF89"/>
    <w:lvl w:ilvl="0" w:tentative="0">
      <w:start w:val="1"/>
      <w:numFmt w:val="bullet"/>
      <w:pStyle w:val="26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4">
    <w:nsid w:val="0AE367E9"/>
    <w:multiLevelType w:val="multilevel"/>
    <w:tmpl w:val="0AE367E9"/>
    <w:lvl w:ilvl="0" w:tentative="0">
      <w:start w:val="1"/>
      <w:numFmt w:val="none"/>
      <w:pStyle w:val="180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>
    <w:nsid w:val="29CB136A"/>
    <w:multiLevelType w:val="multilevel"/>
    <w:tmpl w:val="29CB136A"/>
    <w:lvl w:ilvl="0" w:tentative="0">
      <w:start w:val="1"/>
      <w:numFmt w:val="decimal"/>
      <w:isLgl/>
      <w:lvlText w:val="%1"/>
      <w:lvlJc w:val="left"/>
      <w:pPr>
        <w:tabs>
          <w:tab w:val="left" w:pos="1021"/>
        </w:tabs>
        <w:ind w:left="567" w:firstLine="0"/>
      </w:pPr>
      <w:rPr>
        <w:rFonts w:hint="default" w:ascii="Times New Roman" w:hAnsi="Times New Roman" w:eastAsia="宋体"/>
      </w:rPr>
    </w:lvl>
    <w:lvl w:ilvl="1" w:tentative="0">
      <w:start w:val="1"/>
      <w:numFmt w:val="decimal"/>
      <w:pStyle w:val="30"/>
      <w:isLgl/>
      <w:lvlText w:val="%1.%2"/>
      <w:lvlJc w:val="left"/>
      <w:pPr>
        <w:tabs>
          <w:tab w:val="left" w:pos="30"/>
        </w:tabs>
        <w:ind w:left="-480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lvlText w:val="%1.%2.%3"/>
      <w:lvlJc w:val="left"/>
      <w:pPr>
        <w:tabs>
          <w:tab w:val="left" w:pos="1134"/>
        </w:tabs>
        <w:ind w:left="0" w:firstLine="0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1418"/>
        </w:tabs>
        <w:ind w:left="1418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1559"/>
        </w:tabs>
        <w:ind w:left="1559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701"/>
        </w:tabs>
        <w:ind w:left="1701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843"/>
        </w:tabs>
        <w:ind w:left="1843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985"/>
        </w:tabs>
        <w:ind w:left="1985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2126"/>
        </w:tabs>
        <w:ind w:left="2126" w:hanging="1559"/>
      </w:pPr>
      <w:rPr>
        <w:rFonts w:hint="eastAsia"/>
      </w:rPr>
    </w:lvl>
  </w:abstractNum>
  <w:abstractNum w:abstractNumId="16">
    <w:nsid w:val="2AD27FC1"/>
    <w:multiLevelType w:val="multilevel"/>
    <w:tmpl w:val="2AD27FC1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7">
    <w:nsid w:val="34350B4E"/>
    <w:multiLevelType w:val="multilevel"/>
    <w:tmpl w:val="34350B4E"/>
    <w:lvl w:ilvl="0" w:tentative="0">
      <w:start w:val="1"/>
      <w:numFmt w:val="decimal"/>
      <w:isLgl/>
      <w:lvlText w:val="%1"/>
      <w:lvlJc w:val="left"/>
      <w:pPr>
        <w:tabs>
          <w:tab w:val="left" w:pos="1501"/>
        </w:tabs>
        <w:ind w:left="1047" w:firstLine="0"/>
      </w:pPr>
      <w:rPr>
        <w:rFonts w:hint="default" w:ascii="Times New Roman" w:hAnsi="Times New Roman" w:eastAsia="宋体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510"/>
        </w:tabs>
        <w:ind w:left="0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61"/>
      <w:lvlText w:val="%1.%2.%3"/>
      <w:lvlJc w:val="left"/>
      <w:pPr>
        <w:tabs>
          <w:tab w:val="left" w:pos="1047"/>
        </w:tabs>
        <w:ind w:left="480" w:firstLine="0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1898"/>
        </w:tabs>
        <w:ind w:left="1898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2039"/>
        </w:tabs>
        <w:ind w:left="2039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2181"/>
        </w:tabs>
        <w:ind w:left="2181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2323"/>
        </w:tabs>
        <w:ind w:left="2323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2465"/>
        </w:tabs>
        <w:ind w:left="2465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2606"/>
        </w:tabs>
        <w:ind w:left="2606" w:hanging="1559"/>
      </w:pPr>
      <w:rPr>
        <w:rFonts w:hint="eastAsia"/>
      </w:rPr>
    </w:lvl>
  </w:abstractNum>
  <w:abstractNum w:abstractNumId="18">
    <w:nsid w:val="46806F7D"/>
    <w:multiLevelType w:val="multilevel"/>
    <w:tmpl w:val="46806F7D"/>
    <w:lvl w:ilvl="0" w:tentative="0">
      <w:start w:val="1"/>
      <w:numFmt w:val="none"/>
      <w:pStyle w:val="168"/>
      <w:lvlText w:val="图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>
    <w:nsid w:val="46D22D8F"/>
    <w:multiLevelType w:val="multilevel"/>
    <w:tmpl w:val="46D22D8F"/>
    <w:lvl w:ilvl="0" w:tentative="0">
      <w:start w:val="1"/>
      <w:numFmt w:val="none"/>
      <w:pStyle w:val="193"/>
      <w:lvlText w:val="%1◆　"/>
      <w:lvlJc w:val="left"/>
      <w:pPr>
        <w:tabs>
          <w:tab w:val="left" w:pos="960"/>
        </w:tabs>
        <w:ind w:left="917" w:hanging="317"/>
      </w:pPr>
      <w:rPr>
        <w:rFonts w:hint="eastAsia" w:ascii="宋体" w:hAnsi="Times New Roman" w:eastAsia="宋体"/>
        <w:b w:val="0"/>
        <w:i w:val="0"/>
        <w:position w:val="4"/>
        <w:sz w:val="1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4F302902"/>
    <w:multiLevelType w:val="multilevel"/>
    <w:tmpl w:val="4F302902"/>
    <w:lvl w:ilvl="0" w:tentative="0">
      <w:start w:val="1"/>
      <w:numFmt w:val="none"/>
      <w:pStyle w:val="162"/>
      <w:lvlText w:val="表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>
    <w:nsid w:val="557C2AF5"/>
    <w:multiLevelType w:val="multilevel"/>
    <w:tmpl w:val="557C2AF5"/>
    <w:lvl w:ilvl="0" w:tentative="0">
      <w:start w:val="1"/>
      <w:numFmt w:val="decimal"/>
      <w:pStyle w:val="188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2">
    <w:nsid w:val="6350366A"/>
    <w:multiLevelType w:val="multilevel"/>
    <w:tmpl w:val="6350366A"/>
    <w:lvl w:ilvl="0" w:tentative="0">
      <w:start w:val="1"/>
      <w:numFmt w:val="none"/>
      <w:pStyle w:val="173"/>
      <w:lvlText w:val="%1●　"/>
      <w:lvlJc w:val="left"/>
      <w:pPr>
        <w:tabs>
          <w:tab w:val="left" w:pos="760"/>
        </w:tabs>
        <w:ind w:left="717" w:hanging="317"/>
      </w:pPr>
      <w:rPr>
        <w:rFonts w:hint="eastAsia" w:ascii="宋体" w:hAnsi="Times New Roman" w:eastAsia="宋体"/>
        <w:b w:val="0"/>
        <w:i w:val="0"/>
        <w:position w:val="4"/>
        <w:sz w:val="13"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decimal"/>
      <w:lvlText w:val="%3)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>
    <w:nsid w:val="646260FA"/>
    <w:multiLevelType w:val="multilevel"/>
    <w:tmpl w:val="646260FA"/>
    <w:lvl w:ilvl="0" w:tentative="0">
      <w:start w:val="1"/>
      <w:numFmt w:val="decimal"/>
      <w:pStyle w:val="281"/>
      <w:suff w:val="nothing"/>
      <w:lvlText w:val="表%1　"/>
      <w:lvlJc w:val="left"/>
      <w:pPr>
        <w:ind w:left="0" w:firstLine="0"/>
      </w:pPr>
      <w:rPr>
        <w:rFonts w:hint="default" w:ascii="黑体" w:hAnsi="Times New Roman" w:eastAsia="黑体"/>
        <w:b w:val="0"/>
        <w:i w:val="0"/>
        <w:sz w:val="21"/>
        <w:highlight w:val="green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>
    <w:nsid w:val="657D3FBC"/>
    <w:multiLevelType w:val="multilevel"/>
    <w:tmpl w:val="657D3FBC"/>
    <w:lvl w:ilvl="0" w:tentative="0">
      <w:start w:val="1"/>
      <w:numFmt w:val="upperLetter"/>
      <w:pStyle w:val="16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16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64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6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66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67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69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5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78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277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274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280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6">
    <w:nsid w:val="6DBF04F4"/>
    <w:multiLevelType w:val="multilevel"/>
    <w:tmpl w:val="6DBF04F4"/>
    <w:lvl w:ilvl="0" w:tentative="0">
      <w:start w:val="1"/>
      <w:numFmt w:val="none"/>
      <w:pStyle w:val="189"/>
      <w:lvlText w:val="注："/>
      <w:lvlJc w:val="left"/>
      <w:pPr>
        <w:tabs>
          <w:tab w:val="left" w:pos="420"/>
        </w:tabs>
        <w:ind w:left="420" w:firstLine="0"/>
      </w:pPr>
      <w:rPr>
        <w:rFonts w:hint="eastAsia" w:ascii="Times New Roman" w:hAnsi="Times New Roman" w:eastAsia="宋体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"/>
        <w:position w:val="0"/>
        <w:sz w:val="18"/>
        <w:u w:val="none"/>
        <w:shd w:val="clear" w:color="auto" w:fill="auto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76933334"/>
    <w:multiLevelType w:val="multilevel"/>
    <w:tmpl w:val="76933334"/>
    <w:lvl w:ilvl="0" w:tentative="0">
      <w:start w:val="1"/>
      <w:numFmt w:val="none"/>
      <w:pStyle w:val="172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none"/>
      <w:pStyle w:val="191"/>
      <w:lvlText w:val="注%2:"/>
      <w:lvlJc w:val="left"/>
      <w:pPr>
        <w:tabs>
          <w:tab w:val="left" w:pos="920"/>
        </w:tabs>
        <w:ind w:left="920" w:hanging="500"/>
      </w:pPr>
      <w:rPr>
        <w:rFonts w:hint="eastAsia" w:ascii="Times New Roman" w:hAnsi="Times New Roman" w:eastAsia="宋体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2"/>
        <w:position w:val="0"/>
        <w:sz w:val="18"/>
        <w:u w:val="none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2"/>
  </w:num>
  <w:num w:numId="5">
    <w:abstractNumId w:val="13"/>
  </w:num>
  <w:num w:numId="6">
    <w:abstractNumId w:val="15"/>
  </w:num>
  <w:num w:numId="7">
    <w:abstractNumId w:val="10"/>
  </w:num>
  <w:num w:numId="8">
    <w:abstractNumId w:val="6"/>
  </w:num>
  <w:num w:numId="9">
    <w:abstractNumId w:val="11"/>
  </w:num>
  <w:num w:numId="10">
    <w:abstractNumId w:val="8"/>
  </w:num>
  <w:num w:numId="11">
    <w:abstractNumId w:val="5"/>
  </w:num>
  <w:num w:numId="12">
    <w:abstractNumId w:val="4"/>
  </w:num>
  <w:num w:numId="13">
    <w:abstractNumId w:val="17"/>
  </w:num>
  <w:num w:numId="14">
    <w:abstractNumId w:val="3"/>
  </w:num>
  <w:num w:numId="15">
    <w:abstractNumId w:val="24"/>
  </w:num>
  <w:num w:numId="16">
    <w:abstractNumId w:val="20"/>
  </w:num>
  <w:num w:numId="17">
    <w:abstractNumId w:val="18"/>
  </w:num>
  <w:num w:numId="18">
    <w:abstractNumId w:val="27"/>
  </w:num>
  <w:num w:numId="19">
    <w:abstractNumId w:val="22"/>
  </w:num>
  <w:num w:numId="20">
    <w:abstractNumId w:val="14"/>
  </w:num>
  <w:num w:numId="21">
    <w:abstractNumId w:val="23"/>
  </w:num>
  <w:num w:numId="22">
    <w:abstractNumId w:val="21"/>
  </w:num>
  <w:num w:numId="23">
    <w:abstractNumId w:val="26"/>
  </w:num>
  <w:num w:numId="24">
    <w:abstractNumId w:val="19"/>
  </w:num>
  <w:num w:numId="25">
    <w:abstractNumId w:val="16"/>
    <w:lvlOverride w:ilvl="1">
      <w:lvl w:ilvl="1" w:tentative="1">
        <w:start w:val="1"/>
        <w:numFmt w:val="decimal"/>
        <w:pStyle w:val="257"/>
        <w:lvlText w:val="%1.%2"/>
        <w:lvlJc w:val="left"/>
        <w:pPr>
          <w:tabs>
            <w:tab w:val="left" w:pos="567"/>
          </w:tabs>
          <w:ind w:left="567" w:hanging="567"/>
        </w:pPr>
        <w:rPr>
          <w:rFonts w:hint="eastAsia"/>
        </w:rPr>
      </w:lvl>
    </w:lvlOverride>
  </w:num>
  <w:num w:numId="26">
    <w:abstractNumId w:val="25"/>
  </w:num>
  <w:num w:numId="27">
    <w:abstractNumId w:val="0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19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xOTE0NzFmZmNjYTVjODY0NTJmNTMzMDJiMjMwOTkifQ=="/>
  </w:docVars>
  <w:rsids>
    <w:rsidRoot w:val="00AA32F3"/>
    <w:rsid w:val="00007199"/>
    <w:rsid w:val="00010A83"/>
    <w:rsid w:val="00034C75"/>
    <w:rsid w:val="000427E9"/>
    <w:rsid w:val="00050D45"/>
    <w:rsid w:val="00065A4D"/>
    <w:rsid w:val="00084671"/>
    <w:rsid w:val="00091A25"/>
    <w:rsid w:val="000A2CCE"/>
    <w:rsid w:val="000A6D9C"/>
    <w:rsid w:val="000B03B9"/>
    <w:rsid w:val="000B07FB"/>
    <w:rsid w:val="000B1515"/>
    <w:rsid w:val="000B22AC"/>
    <w:rsid w:val="000B488A"/>
    <w:rsid w:val="000D09E6"/>
    <w:rsid w:val="000F4FE9"/>
    <w:rsid w:val="00105A02"/>
    <w:rsid w:val="0011008E"/>
    <w:rsid w:val="00123B27"/>
    <w:rsid w:val="0012536A"/>
    <w:rsid w:val="00126CAF"/>
    <w:rsid w:val="001459F8"/>
    <w:rsid w:val="00150663"/>
    <w:rsid w:val="00150EAD"/>
    <w:rsid w:val="00161EF1"/>
    <w:rsid w:val="00171228"/>
    <w:rsid w:val="001B06AF"/>
    <w:rsid w:val="001C0D11"/>
    <w:rsid w:val="001D4206"/>
    <w:rsid w:val="001E3CBE"/>
    <w:rsid w:val="001E4B2A"/>
    <w:rsid w:val="001F0DE7"/>
    <w:rsid w:val="001F62B7"/>
    <w:rsid w:val="002007C2"/>
    <w:rsid w:val="00232490"/>
    <w:rsid w:val="00232935"/>
    <w:rsid w:val="00233351"/>
    <w:rsid w:val="0023522A"/>
    <w:rsid w:val="00256BBA"/>
    <w:rsid w:val="00263187"/>
    <w:rsid w:val="00276C3B"/>
    <w:rsid w:val="002933B0"/>
    <w:rsid w:val="002E1AF8"/>
    <w:rsid w:val="002E2A2A"/>
    <w:rsid w:val="00307FDB"/>
    <w:rsid w:val="0033075B"/>
    <w:rsid w:val="0035144F"/>
    <w:rsid w:val="00366E6A"/>
    <w:rsid w:val="003705E3"/>
    <w:rsid w:val="0037151D"/>
    <w:rsid w:val="003920A4"/>
    <w:rsid w:val="003935E1"/>
    <w:rsid w:val="003A602F"/>
    <w:rsid w:val="003B386C"/>
    <w:rsid w:val="003C43F3"/>
    <w:rsid w:val="003C5C41"/>
    <w:rsid w:val="003D1991"/>
    <w:rsid w:val="003D3578"/>
    <w:rsid w:val="003D7404"/>
    <w:rsid w:val="003F50F8"/>
    <w:rsid w:val="00427844"/>
    <w:rsid w:val="0043443C"/>
    <w:rsid w:val="00452CE7"/>
    <w:rsid w:val="0045652E"/>
    <w:rsid w:val="004956AC"/>
    <w:rsid w:val="004A0714"/>
    <w:rsid w:val="004C6742"/>
    <w:rsid w:val="004C7858"/>
    <w:rsid w:val="004E69DC"/>
    <w:rsid w:val="004F5D22"/>
    <w:rsid w:val="00523FFF"/>
    <w:rsid w:val="00547F20"/>
    <w:rsid w:val="005608B0"/>
    <w:rsid w:val="005C4535"/>
    <w:rsid w:val="005E4BA6"/>
    <w:rsid w:val="005F419A"/>
    <w:rsid w:val="00606F92"/>
    <w:rsid w:val="0062507C"/>
    <w:rsid w:val="0062662C"/>
    <w:rsid w:val="006430A1"/>
    <w:rsid w:val="00643505"/>
    <w:rsid w:val="00663772"/>
    <w:rsid w:val="00672376"/>
    <w:rsid w:val="0068017D"/>
    <w:rsid w:val="00687459"/>
    <w:rsid w:val="006B1F04"/>
    <w:rsid w:val="006D356C"/>
    <w:rsid w:val="006D7FBC"/>
    <w:rsid w:val="006F29D6"/>
    <w:rsid w:val="00714110"/>
    <w:rsid w:val="00752A34"/>
    <w:rsid w:val="00771F76"/>
    <w:rsid w:val="00786633"/>
    <w:rsid w:val="007B6DCF"/>
    <w:rsid w:val="007C1C6F"/>
    <w:rsid w:val="007C2CDB"/>
    <w:rsid w:val="007D43F8"/>
    <w:rsid w:val="007D674E"/>
    <w:rsid w:val="007F197C"/>
    <w:rsid w:val="007F4814"/>
    <w:rsid w:val="00800A37"/>
    <w:rsid w:val="00811BE5"/>
    <w:rsid w:val="0081768E"/>
    <w:rsid w:val="00842A8A"/>
    <w:rsid w:val="00875EAB"/>
    <w:rsid w:val="008D138C"/>
    <w:rsid w:val="008D29A2"/>
    <w:rsid w:val="008F2913"/>
    <w:rsid w:val="00902A98"/>
    <w:rsid w:val="00941888"/>
    <w:rsid w:val="00943CDE"/>
    <w:rsid w:val="00967CB3"/>
    <w:rsid w:val="00992EB7"/>
    <w:rsid w:val="009A791B"/>
    <w:rsid w:val="009B3893"/>
    <w:rsid w:val="00A008E2"/>
    <w:rsid w:val="00A33AA4"/>
    <w:rsid w:val="00A370B4"/>
    <w:rsid w:val="00A373EE"/>
    <w:rsid w:val="00A53D37"/>
    <w:rsid w:val="00A82BB9"/>
    <w:rsid w:val="00A84557"/>
    <w:rsid w:val="00A84863"/>
    <w:rsid w:val="00A90A2F"/>
    <w:rsid w:val="00A926A0"/>
    <w:rsid w:val="00AA32F3"/>
    <w:rsid w:val="00AA56C8"/>
    <w:rsid w:val="00AB79E9"/>
    <w:rsid w:val="00AD558A"/>
    <w:rsid w:val="00B17192"/>
    <w:rsid w:val="00B20085"/>
    <w:rsid w:val="00B215F8"/>
    <w:rsid w:val="00B23D80"/>
    <w:rsid w:val="00B4333C"/>
    <w:rsid w:val="00B43A09"/>
    <w:rsid w:val="00B52CB1"/>
    <w:rsid w:val="00B5443F"/>
    <w:rsid w:val="00B61E4D"/>
    <w:rsid w:val="00B64EF7"/>
    <w:rsid w:val="00B815BA"/>
    <w:rsid w:val="00BB6078"/>
    <w:rsid w:val="00BE31B6"/>
    <w:rsid w:val="00C041DE"/>
    <w:rsid w:val="00C30909"/>
    <w:rsid w:val="00C8060A"/>
    <w:rsid w:val="00C90115"/>
    <w:rsid w:val="00C939C6"/>
    <w:rsid w:val="00C97911"/>
    <w:rsid w:val="00CB3E8A"/>
    <w:rsid w:val="00CD2750"/>
    <w:rsid w:val="00CD59FD"/>
    <w:rsid w:val="00D1345D"/>
    <w:rsid w:val="00D33346"/>
    <w:rsid w:val="00D4549B"/>
    <w:rsid w:val="00D913CD"/>
    <w:rsid w:val="00D939BD"/>
    <w:rsid w:val="00DB5CAD"/>
    <w:rsid w:val="00DC19CB"/>
    <w:rsid w:val="00E10A48"/>
    <w:rsid w:val="00E20CC7"/>
    <w:rsid w:val="00E270A2"/>
    <w:rsid w:val="00E44F0C"/>
    <w:rsid w:val="00E645F8"/>
    <w:rsid w:val="00E67AC7"/>
    <w:rsid w:val="00E829A1"/>
    <w:rsid w:val="00EA371B"/>
    <w:rsid w:val="00EC54A8"/>
    <w:rsid w:val="00ED57A6"/>
    <w:rsid w:val="00F001FD"/>
    <w:rsid w:val="00F07EAF"/>
    <w:rsid w:val="00F16054"/>
    <w:rsid w:val="00F243DE"/>
    <w:rsid w:val="00F650FA"/>
    <w:rsid w:val="00F66E89"/>
    <w:rsid w:val="00FA641D"/>
    <w:rsid w:val="00FB321B"/>
    <w:rsid w:val="00FC02BF"/>
    <w:rsid w:val="00FC6A31"/>
    <w:rsid w:val="00FE4016"/>
    <w:rsid w:val="01031171"/>
    <w:rsid w:val="010C2700"/>
    <w:rsid w:val="01227A87"/>
    <w:rsid w:val="01286562"/>
    <w:rsid w:val="012F05BA"/>
    <w:rsid w:val="01322059"/>
    <w:rsid w:val="0133224D"/>
    <w:rsid w:val="01363564"/>
    <w:rsid w:val="013B0B3A"/>
    <w:rsid w:val="013B0DE8"/>
    <w:rsid w:val="01431A4A"/>
    <w:rsid w:val="014F5C36"/>
    <w:rsid w:val="015A3F23"/>
    <w:rsid w:val="016A6FD7"/>
    <w:rsid w:val="01D16380"/>
    <w:rsid w:val="01F36FCC"/>
    <w:rsid w:val="01F571E8"/>
    <w:rsid w:val="020424AE"/>
    <w:rsid w:val="020D7806"/>
    <w:rsid w:val="02182ED7"/>
    <w:rsid w:val="02297209"/>
    <w:rsid w:val="02385327"/>
    <w:rsid w:val="023B14DC"/>
    <w:rsid w:val="023B7F71"/>
    <w:rsid w:val="02467A44"/>
    <w:rsid w:val="024F07A6"/>
    <w:rsid w:val="02515FCF"/>
    <w:rsid w:val="025436AE"/>
    <w:rsid w:val="025A34EF"/>
    <w:rsid w:val="027D23C8"/>
    <w:rsid w:val="02862195"/>
    <w:rsid w:val="028642E4"/>
    <w:rsid w:val="029D33DC"/>
    <w:rsid w:val="029F0F02"/>
    <w:rsid w:val="02AB5498"/>
    <w:rsid w:val="02CB7F49"/>
    <w:rsid w:val="02CD1F13"/>
    <w:rsid w:val="02D23389"/>
    <w:rsid w:val="02DE04AC"/>
    <w:rsid w:val="02F70D3E"/>
    <w:rsid w:val="02FC51ED"/>
    <w:rsid w:val="02FE2D95"/>
    <w:rsid w:val="032B6C3A"/>
    <w:rsid w:val="03590FAB"/>
    <w:rsid w:val="035A307B"/>
    <w:rsid w:val="035F40F2"/>
    <w:rsid w:val="03634626"/>
    <w:rsid w:val="036A7762"/>
    <w:rsid w:val="03936CB9"/>
    <w:rsid w:val="039B5B6E"/>
    <w:rsid w:val="03BC1A16"/>
    <w:rsid w:val="03C154EC"/>
    <w:rsid w:val="03DD6186"/>
    <w:rsid w:val="03F77136"/>
    <w:rsid w:val="03FD05D6"/>
    <w:rsid w:val="04021318"/>
    <w:rsid w:val="0402254B"/>
    <w:rsid w:val="040C2248"/>
    <w:rsid w:val="040E4592"/>
    <w:rsid w:val="04131BA8"/>
    <w:rsid w:val="0414147C"/>
    <w:rsid w:val="0424773E"/>
    <w:rsid w:val="042E6B61"/>
    <w:rsid w:val="042F68E1"/>
    <w:rsid w:val="043D09D3"/>
    <w:rsid w:val="046F71A0"/>
    <w:rsid w:val="047D5D6A"/>
    <w:rsid w:val="04842AA6"/>
    <w:rsid w:val="049C45EC"/>
    <w:rsid w:val="04A627EF"/>
    <w:rsid w:val="04B30C95"/>
    <w:rsid w:val="04BF588C"/>
    <w:rsid w:val="04CD61FB"/>
    <w:rsid w:val="04DD5D12"/>
    <w:rsid w:val="04DF1A8A"/>
    <w:rsid w:val="04E672BC"/>
    <w:rsid w:val="04E946B7"/>
    <w:rsid w:val="04EB3BD5"/>
    <w:rsid w:val="04F40F9F"/>
    <w:rsid w:val="05050218"/>
    <w:rsid w:val="051536FE"/>
    <w:rsid w:val="0526590B"/>
    <w:rsid w:val="05600E1D"/>
    <w:rsid w:val="056703FD"/>
    <w:rsid w:val="05671EC3"/>
    <w:rsid w:val="05763AED"/>
    <w:rsid w:val="05871307"/>
    <w:rsid w:val="058F1702"/>
    <w:rsid w:val="05B23C8A"/>
    <w:rsid w:val="05B253F0"/>
    <w:rsid w:val="05BF72A5"/>
    <w:rsid w:val="05C173E2"/>
    <w:rsid w:val="05CA44E8"/>
    <w:rsid w:val="05CB200E"/>
    <w:rsid w:val="05CC2D0C"/>
    <w:rsid w:val="05DF7041"/>
    <w:rsid w:val="05F94DCD"/>
    <w:rsid w:val="05F95887"/>
    <w:rsid w:val="05FD48BE"/>
    <w:rsid w:val="06064F53"/>
    <w:rsid w:val="06175254"/>
    <w:rsid w:val="061D7D45"/>
    <w:rsid w:val="0624009C"/>
    <w:rsid w:val="06287461"/>
    <w:rsid w:val="062C7589"/>
    <w:rsid w:val="06585F98"/>
    <w:rsid w:val="065B506B"/>
    <w:rsid w:val="06654211"/>
    <w:rsid w:val="06840E03"/>
    <w:rsid w:val="06897EFF"/>
    <w:rsid w:val="069F3BC7"/>
    <w:rsid w:val="06A232C1"/>
    <w:rsid w:val="06A2526C"/>
    <w:rsid w:val="06B70F10"/>
    <w:rsid w:val="06ED2165"/>
    <w:rsid w:val="06F82BFF"/>
    <w:rsid w:val="06FC2DC7"/>
    <w:rsid w:val="0714478F"/>
    <w:rsid w:val="071579E5"/>
    <w:rsid w:val="071D0F27"/>
    <w:rsid w:val="07201CA4"/>
    <w:rsid w:val="072C146F"/>
    <w:rsid w:val="07416A2C"/>
    <w:rsid w:val="075B5080"/>
    <w:rsid w:val="078957E9"/>
    <w:rsid w:val="078D1C71"/>
    <w:rsid w:val="07907F88"/>
    <w:rsid w:val="0791003F"/>
    <w:rsid w:val="079745C9"/>
    <w:rsid w:val="079C3C62"/>
    <w:rsid w:val="079E467F"/>
    <w:rsid w:val="07B34116"/>
    <w:rsid w:val="07B436A2"/>
    <w:rsid w:val="07D23B28"/>
    <w:rsid w:val="07D93108"/>
    <w:rsid w:val="07E4622F"/>
    <w:rsid w:val="07E93975"/>
    <w:rsid w:val="07F40677"/>
    <w:rsid w:val="07FE7199"/>
    <w:rsid w:val="080211E9"/>
    <w:rsid w:val="081D6FC0"/>
    <w:rsid w:val="0824003E"/>
    <w:rsid w:val="082C3238"/>
    <w:rsid w:val="082F0F7A"/>
    <w:rsid w:val="083A27B3"/>
    <w:rsid w:val="083F6382"/>
    <w:rsid w:val="086E1AA3"/>
    <w:rsid w:val="087342E3"/>
    <w:rsid w:val="08781FE5"/>
    <w:rsid w:val="08AC25CB"/>
    <w:rsid w:val="08BA6A96"/>
    <w:rsid w:val="08CC67C9"/>
    <w:rsid w:val="08D17094"/>
    <w:rsid w:val="08DA2C94"/>
    <w:rsid w:val="08F43C68"/>
    <w:rsid w:val="08FB2C0B"/>
    <w:rsid w:val="09295FE2"/>
    <w:rsid w:val="093F343F"/>
    <w:rsid w:val="09424396"/>
    <w:rsid w:val="09510A7C"/>
    <w:rsid w:val="095F52E8"/>
    <w:rsid w:val="096506A8"/>
    <w:rsid w:val="097E3F67"/>
    <w:rsid w:val="09855CD9"/>
    <w:rsid w:val="09964F83"/>
    <w:rsid w:val="099964A1"/>
    <w:rsid w:val="09B96D4E"/>
    <w:rsid w:val="09BC5238"/>
    <w:rsid w:val="09D75426"/>
    <w:rsid w:val="09DF42DA"/>
    <w:rsid w:val="09F158A1"/>
    <w:rsid w:val="0A0A67FF"/>
    <w:rsid w:val="0A0D05CC"/>
    <w:rsid w:val="0A560A40"/>
    <w:rsid w:val="0A570314"/>
    <w:rsid w:val="0A627A0D"/>
    <w:rsid w:val="0A85281E"/>
    <w:rsid w:val="0A892BC4"/>
    <w:rsid w:val="0AA611B3"/>
    <w:rsid w:val="0AB45767"/>
    <w:rsid w:val="0ABF0394"/>
    <w:rsid w:val="0AD17F88"/>
    <w:rsid w:val="0ADF4592"/>
    <w:rsid w:val="0AFB3396"/>
    <w:rsid w:val="0B0111E3"/>
    <w:rsid w:val="0B1D155E"/>
    <w:rsid w:val="0B435BA8"/>
    <w:rsid w:val="0B5336C2"/>
    <w:rsid w:val="0B534F80"/>
    <w:rsid w:val="0B555AC0"/>
    <w:rsid w:val="0B5F0E63"/>
    <w:rsid w:val="0B6B1ACD"/>
    <w:rsid w:val="0B6E5916"/>
    <w:rsid w:val="0B770C6E"/>
    <w:rsid w:val="0B777C83"/>
    <w:rsid w:val="0BA64777"/>
    <w:rsid w:val="0BAE0408"/>
    <w:rsid w:val="0BB75C85"/>
    <w:rsid w:val="0BBE7A94"/>
    <w:rsid w:val="0BC1013B"/>
    <w:rsid w:val="0BCB4B16"/>
    <w:rsid w:val="0BDD01E9"/>
    <w:rsid w:val="0BE10AC9"/>
    <w:rsid w:val="0BE45BD8"/>
    <w:rsid w:val="0C006EB6"/>
    <w:rsid w:val="0C032502"/>
    <w:rsid w:val="0C05040B"/>
    <w:rsid w:val="0C2438DE"/>
    <w:rsid w:val="0C4072B2"/>
    <w:rsid w:val="0C85560D"/>
    <w:rsid w:val="0C8E4FDD"/>
    <w:rsid w:val="0C961E65"/>
    <w:rsid w:val="0CA013C6"/>
    <w:rsid w:val="0CA05FA3"/>
    <w:rsid w:val="0CA30F78"/>
    <w:rsid w:val="0CAA482E"/>
    <w:rsid w:val="0CB10B0C"/>
    <w:rsid w:val="0CB67574"/>
    <w:rsid w:val="0CCB7BD8"/>
    <w:rsid w:val="0CDA7707"/>
    <w:rsid w:val="0CE00A95"/>
    <w:rsid w:val="0CEA36C2"/>
    <w:rsid w:val="0CF008D4"/>
    <w:rsid w:val="0CFB142B"/>
    <w:rsid w:val="0CFF0F1B"/>
    <w:rsid w:val="0D0344E4"/>
    <w:rsid w:val="0D0D506F"/>
    <w:rsid w:val="0D3037CB"/>
    <w:rsid w:val="0D3D1A44"/>
    <w:rsid w:val="0D4A5F0F"/>
    <w:rsid w:val="0D4D0D34"/>
    <w:rsid w:val="0D4E3C51"/>
    <w:rsid w:val="0D533043"/>
    <w:rsid w:val="0D5D5740"/>
    <w:rsid w:val="0D7323B7"/>
    <w:rsid w:val="0D850CB4"/>
    <w:rsid w:val="0D8D29CB"/>
    <w:rsid w:val="0D8E34B3"/>
    <w:rsid w:val="0D9F08EE"/>
    <w:rsid w:val="0DA9532B"/>
    <w:rsid w:val="0DAB10A3"/>
    <w:rsid w:val="0DAE2951"/>
    <w:rsid w:val="0DB21E02"/>
    <w:rsid w:val="0DB46ACC"/>
    <w:rsid w:val="0DC21F49"/>
    <w:rsid w:val="0DE34399"/>
    <w:rsid w:val="0DE620DB"/>
    <w:rsid w:val="0E124C7E"/>
    <w:rsid w:val="0E1B6B59"/>
    <w:rsid w:val="0E213113"/>
    <w:rsid w:val="0E227890"/>
    <w:rsid w:val="0E2855BD"/>
    <w:rsid w:val="0E4A4418"/>
    <w:rsid w:val="0E5F490A"/>
    <w:rsid w:val="0E63372C"/>
    <w:rsid w:val="0E634505"/>
    <w:rsid w:val="0E6357E1"/>
    <w:rsid w:val="0E7A4A80"/>
    <w:rsid w:val="0EE4486D"/>
    <w:rsid w:val="0EED7507"/>
    <w:rsid w:val="0EF12AE6"/>
    <w:rsid w:val="0EF16F8A"/>
    <w:rsid w:val="0F00541F"/>
    <w:rsid w:val="0F082B0E"/>
    <w:rsid w:val="0F273897"/>
    <w:rsid w:val="0F3126FC"/>
    <w:rsid w:val="0F4A0448"/>
    <w:rsid w:val="0F503CB0"/>
    <w:rsid w:val="0F512F0F"/>
    <w:rsid w:val="0F5165AF"/>
    <w:rsid w:val="0F551B4B"/>
    <w:rsid w:val="0F5B7C47"/>
    <w:rsid w:val="0F6E4136"/>
    <w:rsid w:val="0F814DAD"/>
    <w:rsid w:val="0FA062BA"/>
    <w:rsid w:val="0FA61DFB"/>
    <w:rsid w:val="0FA97864"/>
    <w:rsid w:val="0FB71F81"/>
    <w:rsid w:val="0FFB6AD0"/>
    <w:rsid w:val="10034DAD"/>
    <w:rsid w:val="100920B1"/>
    <w:rsid w:val="101E1ED6"/>
    <w:rsid w:val="102869DB"/>
    <w:rsid w:val="10596FC0"/>
    <w:rsid w:val="106375D3"/>
    <w:rsid w:val="10644984"/>
    <w:rsid w:val="10691945"/>
    <w:rsid w:val="107255C2"/>
    <w:rsid w:val="10771710"/>
    <w:rsid w:val="10A32E01"/>
    <w:rsid w:val="10A87B1C"/>
    <w:rsid w:val="10AB53A2"/>
    <w:rsid w:val="10AC760C"/>
    <w:rsid w:val="10D821AF"/>
    <w:rsid w:val="10EC6DF4"/>
    <w:rsid w:val="10FD2C87"/>
    <w:rsid w:val="11032FA4"/>
    <w:rsid w:val="110F4C44"/>
    <w:rsid w:val="11263022"/>
    <w:rsid w:val="113B273E"/>
    <w:rsid w:val="113B4369"/>
    <w:rsid w:val="114C494B"/>
    <w:rsid w:val="11567578"/>
    <w:rsid w:val="115D0906"/>
    <w:rsid w:val="116A15B6"/>
    <w:rsid w:val="11734152"/>
    <w:rsid w:val="1178129C"/>
    <w:rsid w:val="117B22D4"/>
    <w:rsid w:val="118E7D16"/>
    <w:rsid w:val="11910467"/>
    <w:rsid w:val="119500A0"/>
    <w:rsid w:val="11967974"/>
    <w:rsid w:val="11987B90"/>
    <w:rsid w:val="119B640E"/>
    <w:rsid w:val="11B30526"/>
    <w:rsid w:val="11B3592C"/>
    <w:rsid w:val="11D1632F"/>
    <w:rsid w:val="11D24E3C"/>
    <w:rsid w:val="11D566EF"/>
    <w:rsid w:val="11DA46DE"/>
    <w:rsid w:val="11DB2DDE"/>
    <w:rsid w:val="11EE77B0"/>
    <w:rsid w:val="11FB20FB"/>
    <w:rsid w:val="121666EA"/>
    <w:rsid w:val="122356AC"/>
    <w:rsid w:val="122B27B2"/>
    <w:rsid w:val="12442AC8"/>
    <w:rsid w:val="12631A6D"/>
    <w:rsid w:val="126B4B4C"/>
    <w:rsid w:val="127E28E2"/>
    <w:rsid w:val="12875DA0"/>
    <w:rsid w:val="128C2C3B"/>
    <w:rsid w:val="12900868"/>
    <w:rsid w:val="12BD657C"/>
    <w:rsid w:val="12C53EFF"/>
    <w:rsid w:val="12CD5618"/>
    <w:rsid w:val="12D6271E"/>
    <w:rsid w:val="12E27315"/>
    <w:rsid w:val="12EF70B7"/>
    <w:rsid w:val="12F152D2"/>
    <w:rsid w:val="130C25E4"/>
    <w:rsid w:val="130D010A"/>
    <w:rsid w:val="131023CF"/>
    <w:rsid w:val="1345517B"/>
    <w:rsid w:val="13472B1C"/>
    <w:rsid w:val="13503262"/>
    <w:rsid w:val="13662775"/>
    <w:rsid w:val="13755250"/>
    <w:rsid w:val="139D5F28"/>
    <w:rsid w:val="13A22600"/>
    <w:rsid w:val="13A463FB"/>
    <w:rsid w:val="13CE1647"/>
    <w:rsid w:val="13D04538"/>
    <w:rsid w:val="13D63D07"/>
    <w:rsid w:val="13DB5B12"/>
    <w:rsid w:val="13E40E6B"/>
    <w:rsid w:val="13E97F57"/>
    <w:rsid w:val="13ED448F"/>
    <w:rsid w:val="13F01AB0"/>
    <w:rsid w:val="13FB31D3"/>
    <w:rsid w:val="14270D58"/>
    <w:rsid w:val="14305E5E"/>
    <w:rsid w:val="144B5732"/>
    <w:rsid w:val="14501863"/>
    <w:rsid w:val="14531B4D"/>
    <w:rsid w:val="1457163D"/>
    <w:rsid w:val="14624D67"/>
    <w:rsid w:val="14694762"/>
    <w:rsid w:val="147D6BCA"/>
    <w:rsid w:val="14902DA1"/>
    <w:rsid w:val="14A20EB0"/>
    <w:rsid w:val="14A74A23"/>
    <w:rsid w:val="14CA06C4"/>
    <w:rsid w:val="14E530ED"/>
    <w:rsid w:val="14E629C1"/>
    <w:rsid w:val="150712B5"/>
    <w:rsid w:val="15170C9B"/>
    <w:rsid w:val="15330635"/>
    <w:rsid w:val="153F02F0"/>
    <w:rsid w:val="15543DCE"/>
    <w:rsid w:val="156063FA"/>
    <w:rsid w:val="15857970"/>
    <w:rsid w:val="15995C85"/>
    <w:rsid w:val="15A40E9E"/>
    <w:rsid w:val="15A703A2"/>
    <w:rsid w:val="15AB60E4"/>
    <w:rsid w:val="15B17473"/>
    <w:rsid w:val="15B36CD7"/>
    <w:rsid w:val="15D06208"/>
    <w:rsid w:val="15D60C87"/>
    <w:rsid w:val="15F57E72"/>
    <w:rsid w:val="15F72013"/>
    <w:rsid w:val="15FA6724"/>
    <w:rsid w:val="15FE7F3C"/>
    <w:rsid w:val="15FF3D3A"/>
    <w:rsid w:val="160C28FB"/>
    <w:rsid w:val="160C5D34"/>
    <w:rsid w:val="160E6673"/>
    <w:rsid w:val="16150344"/>
    <w:rsid w:val="16152D2C"/>
    <w:rsid w:val="16181D24"/>
    <w:rsid w:val="16315EBE"/>
    <w:rsid w:val="16386C19"/>
    <w:rsid w:val="16574834"/>
    <w:rsid w:val="166B7621"/>
    <w:rsid w:val="167069E6"/>
    <w:rsid w:val="167A7865"/>
    <w:rsid w:val="167D5E74"/>
    <w:rsid w:val="16831D55"/>
    <w:rsid w:val="16907088"/>
    <w:rsid w:val="169F551D"/>
    <w:rsid w:val="16A05F03"/>
    <w:rsid w:val="16AF39B2"/>
    <w:rsid w:val="16B95E0C"/>
    <w:rsid w:val="16BC6A05"/>
    <w:rsid w:val="16BD20F3"/>
    <w:rsid w:val="16BE0D53"/>
    <w:rsid w:val="16D01B7A"/>
    <w:rsid w:val="16EF6387"/>
    <w:rsid w:val="16FE2244"/>
    <w:rsid w:val="170610F8"/>
    <w:rsid w:val="17095C53"/>
    <w:rsid w:val="173043C7"/>
    <w:rsid w:val="17337317"/>
    <w:rsid w:val="17367C2F"/>
    <w:rsid w:val="173B468F"/>
    <w:rsid w:val="17545633"/>
    <w:rsid w:val="1767603B"/>
    <w:rsid w:val="176D7A43"/>
    <w:rsid w:val="177C55B1"/>
    <w:rsid w:val="1786545A"/>
    <w:rsid w:val="17884203"/>
    <w:rsid w:val="17936223"/>
    <w:rsid w:val="179606CE"/>
    <w:rsid w:val="17A84A9B"/>
    <w:rsid w:val="17AA5F28"/>
    <w:rsid w:val="17AC1CA0"/>
    <w:rsid w:val="17AE472F"/>
    <w:rsid w:val="17B6748E"/>
    <w:rsid w:val="17CD1C16"/>
    <w:rsid w:val="17D62037"/>
    <w:rsid w:val="17DD62FD"/>
    <w:rsid w:val="17E51C1C"/>
    <w:rsid w:val="17EC02EE"/>
    <w:rsid w:val="17F02CDB"/>
    <w:rsid w:val="17F65611"/>
    <w:rsid w:val="17FE20EC"/>
    <w:rsid w:val="18025D64"/>
    <w:rsid w:val="18072ECB"/>
    <w:rsid w:val="182C2DE0"/>
    <w:rsid w:val="183034CE"/>
    <w:rsid w:val="1845086B"/>
    <w:rsid w:val="184A4943"/>
    <w:rsid w:val="1850619F"/>
    <w:rsid w:val="18567E5D"/>
    <w:rsid w:val="185C23C1"/>
    <w:rsid w:val="18602A8A"/>
    <w:rsid w:val="1867206B"/>
    <w:rsid w:val="186F6AA5"/>
    <w:rsid w:val="18747E40"/>
    <w:rsid w:val="18932E60"/>
    <w:rsid w:val="18AE7C99"/>
    <w:rsid w:val="18BD10B1"/>
    <w:rsid w:val="18C71DE4"/>
    <w:rsid w:val="18DA0A8E"/>
    <w:rsid w:val="18E216F1"/>
    <w:rsid w:val="18EC3AA0"/>
    <w:rsid w:val="18FB2EAF"/>
    <w:rsid w:val="190F698A"/>
    <w:rsid w:val="191E4A85"/>
    <w:rsid w:val="19425042"/>
    <w:rsid w:val="19516FA3"/>
    <w:rsid w:val="196011AB"/>
    <w:rsid w:val="196A1E12"/>
    <w:rsid w:val="196C5B8A"/>
    <w:rsid w:val="19750605"/>
    <w:rsid w:val="197F714D"/>
    <w:rsid w:val="19801636"/>
    <w:rsid w:val="198C7978"/>
    <w:rsid w:val="19CA465F"/>
    <w:rsid w:val="19EE2A43"/>
    <w:rsid w:val="19F53DD2"/>
    <w:rsid w:val="1A077661"/>
    <w:rsid w:val="1A100B73"/>
    <w:rsid w:val="1A1465CF"/>
    <w:rsid w:val="1A167E68"/>
    <w:rsid w:val="1A4652F0"/>
    <w:rsid w:val="1A534654"/>
    <w:rsid w:val="1A554870"/>
    <w:rsid w:val="1A656427"/>
    <w:rsid w:val="1A6920CA"/>
    <w:rsid w:val="1A846F04"/>
    <w:rsid w:val="1A894464"/>
    <w:rsid w:val="1A9124CD"/>
    <w:rsid w:val="1A9A04D5"/>
    <w:rsid w:val="1A9D7630"/>
    <w:rsid w:val="1AB62E35"/>
    <w:rsid w:val="1AC612CA"/>
    <w:rsid w:val="1AC7789A"/>
    <w:rsid w:val="1AD35795"/>
    <w:rsid w:val="1AD77FD8"/>
    <w:rsid w:val="1ADE2F04"/>
    <w:rsid w:val="1AEE25CF"/>
    <w:rsid w:val="1B02691D"/>
    <w:rsid w:val="1B0B3181"/>
    <w:rsid w:val="1B27005B"/>
    <w:rsid w:val="1B2D57A6"/>
    <w:rsid w:val="1B2D759B"/>
    <w:rsid w:val="1B585C5C"/>
    <w:rsid w:val="1B742AD4"/>
    <w:rsid w:val="1B7C5E2D"/>
    <w:rsid w:val="1B9238A2"/>
    <w:rsid w:val="1B925650"/>
    <w:rsid w:val="1B997601"/>
    <w:rsid w:val="1BAB2B7E"/>
    <w:rsid w:val="1BB24EF1"/>
    <w:rsid w:val="1BB5131F"/>
    <w:rsid w:val="1BE60888"/>
    <w:rsid w:val="1BED3A8C"/>
    <w:rsid w:val="1BF60986"/>
    <w:rsid w:val="1BF81957"/>
    <w:rsid w:val="1C025FE1"/>
    <w:rsid w:val="1C033E58"/>
    <w:rsid w:val="1C0C71B1"/>
    <w:rsid w:val="1C271037"/>
    <w:rsid w:val="1C2D56BB"/>
    <w:rsid w:val="1C5341D8"/>
    <w:rsid w:val="1C597F1C"/>
    <w:rsid w:val="1C6D0611"/>
    <w:rsid w:val="1C76287C"/>
    <w:rsid w:val="1C7A08DD"/>
    <w:rsid w:val="1C817B9F"/>
    <w:rsid w:val="1C8910C4"/>
    <w:rsid w:val="1C9D24FF"/>
    <w:rsid w:val="1CA2630D"/>
    <w:rsid w:val="1CA473E9"/>
    <w:rsid w:val="1CAA0CC0"/>
    <w:rsid w:val="1CAB2A3D"/>
    <w:rsid w:val="1CB9704D"/>
    <w:rsid w:val="1CBF5FD1"/>
    <w:rsid w:val="1CD12FDF"/>
    <w:rsid w:val="1CD808BE"/>
    <w:rsid w:val="1CEA7744"/>
    <w:rsid w:val="1CEE68B6"/>
    <w:rsid w:val="1CFE11EF"/>
    <w:rsid w:val="1D0B56BA"/>
    <w:rsid w:val="1D263975"/>
    <w:rsid w:val="1D395A93"/>
    <w:rsid w:val="1D3B6623"/>
    <w:rsid w:val="1D44297A"/>
    <w:rsid w:val="1D5F1562"/>
    <w:rsid w:val="1D646073"/>
    <w:rsid w:val="1D790876"/>
    <w:rsid w:val="1DA619A9"/>
    <w:rsid w:val="1DA67F77"/>
    <w:rsid w:val="1DB21FDA"/>
    <w:rsid w:val="1DB7139E"/>
    <w:rsid w:val="1DBA2C3C"/>
    <w:rsid w:val="1DDE4B7D"/>
    <w:rsid w:val="1DE92160"/>
    <w:rsid w:val="1E262080"/>
    <w:rsid w:val="1E2C156D"/>
    <w:rsid w:val="1E366767"/>
    <w:rsid w:val="1E4D585F"/>
    <w:rsid w:val="1E4D5E87"/>
    <w:rsid w:val="1E5866DD"/>
    <w:rsid w:val="1E594203"/>
    <w:rsid w:val="1EA0508E"/>
    <w:rsid w:val="1EA41923"/>
    <w:rsid w:val="1EC2624D"/>
    <w:rsid w:val="1EC65D3D"/>
    <w:rsid w:val="1EC72055"/>
    <w:rsid w:val="1ECA75BB"/>
    <w:rsid w:val="1ED2320A"/>
    <w:rsid w:val="1F136AA8"/>
    <w:rsid w:val="1F1B770B"/>
    <w:rsid w:val="1F2209A0"/>
    <w:rsid w:val="1F4B7FF0"/>
    <w:rsid w:val="1F6410B2"/>
    <w:rsid w:val="1F684CED"/>
    <w:rsid w:val="1F764D93"/>
    <w:rsid w:val="1F7C464D"/>
    <w:rsid w:val="1F910F0C"/>
    <w:rsid w:val="1F9A2D26"/>
    <w:rsid w:val="1F9D35E9"/>
    <w:rsid w:val="1FA6241D"/>
    <w:rsid w:val="1FBF4470"/>
    <w:rsid w:val="1FC11471"/>
    <w:rsid w:val="1FC71EFB"/>
    <w:rsid w:val="1FCF78A3"/>
    <w:rsid w:val="1FD71884"/>
    <w:rsid w:val="1FDA1374"/>
    <w:rsid w:val="1FE24243"/>
    <w:rsid w:val="1FF47E29"/>
    <w:rsid w:val="1FF93EF0"/>
    <w:rsid w:val="20054643"/>
    <w:rsid w:val="202B1B3B"/>
    <w:rsid w:val="20360CA0"/>
    <w:rsid w:val="20397E8F"/>
    <w:rsid w:val="205729C5"/>
    <w:rsid w:val="20645AF5"/>
    <w:rsid w:val="20765541"/>
    <w:rsid w:val="20B63B8F"/>
    <w:rsid w:val="20BB0178"/>
    <w:rsid w:val="20C22534"/>
    <w:rsid w:val="20C83323"/>
    <w:rsid w:val="20C938C2"/>
    <w:rsid w:val="20C95670"/>
    <w:rsid w:val="20CD6896"/>
    <w:rsid w:val="20DE7DDC"/>
    <w:rsid w:val="20E705E6"/>
    <w:rsid w:val="20ED6A19"/>
    <w:rsid w:val="20EE50D7"/>
    <w:rsid w:val="210165B1"/>
    <w:rsid w:val="21051305"/>
    <w:rsid w:val="210B739E"/>
    <w:rsid w:val="2118189C"/>
    <w:rsid w:val="21182154"/>
    <w:rsid w:val="211F5682"/>
    <w:rsid w:val="21221225"/>
    <w:rsid w:val="21276AAA"/>
    <w:rsid w:val="2129610F"/>
    <w:rsid w:val="212D20A3"/>
    <w:rsid w:val="213056EF"/>
    <w:rsid w:val="21380A48"/>
    <w:rsid w:val="213A66F6"/>
    <w:rsid w:val="21656329"/>
    <w:rsid w:val="217750CC"/>
    <w:rsid w:val="21866630"/>
    <w:rsid w:val="2197751D"/>
    <w:rsid w:val="21A254EA"/>
    <w:rsid w:val="21AA36F4"/>
    <w:rsid w:val="21AF0E6B"/>
    <w:rsid w:val="21BC51D5"/>
    <w:rsid w:val="21BF2393"/>
    <w:rsid w:val="21D70261"/>
    <w:rsid w:val="21F5416F"/>
    <w:rsid w:val="21FC3824"/>
    <w:rsid w:val="21FF50C2"/>
    <w:rsid w:val="22023D55"/>
    <w:rsid w:val="220A05E6"/>
    <w:rsid w:val="2219337B"/>
    <w:rsid w:val="223A1FBF"/>
    <w:rsid w:val="223B259E"/>
    <w:rsid w:val="223C3D0F"/>
    <w:rsid w:val="22576DDA"/>
    <w:rsid w:val="225B6598"/>
    <w:rsid w:val="22755C39"/>
    <w:rsid w:val="22791318"/>
    <w:rsid w:val="22804455"/>
    <w:rsid w:val="22811554"/>
    <w:rsid w:val="228439DF"/>
    <w:rsid w:val="22881A05"/>
    <w:rsid w:val="22C95DFC"/>
    <w:rsid w:val="22CB49DA"/>
    <w:rsid w:val="22E50641"/>
    <w:rsid w:val="22EC1AEA"/>
    <w:rsid w:val="22EC3898"/>
    <w:rsid w:val="22F32E79"/>
    <w:rsid w:val="22F86BB3"/>
    <w:rsid w:val="23131359"/>
    <w:rsid w:val="23131962"/>
    <w:rsid w:val="231921B3"/>
    <w:rsid w:val="232D106D"/>
    <w:rsid w:val="232D7A92"/>
    <w:rsid w:val="23353491"/>
    <w:rsid w:val="235C0A1E"/>
    <w:rsid w:val="236478D2"/>
    <w:rsid w:val="2369111C"/>
    <w:rsid w:val="237A6156"/>
    <w:rsid w:val="237F470C"/>
    <w:rsid w:val="238C7367"/>
    <w:rsid w:val="23B4085A"/>
    <w:rsid w:val="23D04F68"/>
    <w:rsid w:val="23D272DE"/>
    <w:rsid w:val="23E45F8C"/>
    <w:rsid w:val="23E60B0F"/>
    <w:rsid w:val="23F76998"/>
    <w:rsid w:val="2419690F"/>
    <w:rsid w:val="24283320"/>
    <w:rsid w:val="24356CF4"/>
    <w:rsid w:val="24376D95"/>
    <w:rsid w:val="24521E21"/>
    <w:rsid w:val="24533928"/>
    <w:rsid w:val="24572F93"/>
    <w:rsid w:val="245A2AD1"/>
    <w:rsid w:val="246062EC"/>
    <w:rsid w:val="248875F1"/>
    <w:rsid w:val="248F6BD1"/>
    <w:rsid w:val="24A50391"/>
    <w:rsid w:val="24AA5C0C"/>
    <w:rsid w:val="24AE34FB"/>
    <w:rsid w:val="24BD373E"/>
    <w:rsid w:val="24C3342C"/>
    <w:rsid w:val="24D171E9"/>
    <w:rsid w:val="24F5112A"/>
    <w:rsid w:val="24FB7DC2"/>
    <w:rsid w:val="25022231"/>
    <w:rsid w:val="250937F2"/>
    <w:rsid w:val="252217F3"/>
    <w:rsid w:val="2524556B"/>
    <w:rsid w:val="252B3302"/>
    <w:rsid w:val="2533335B"/>
    <w:rsid w:val="254F005D"/>
    <w:rsid w:val="25654CD9"/>
    <w:rsid w:val="256C0CC0"/>
    <w:rsid w:val="257162D7"/>
    <w:rsid w:val="257E6FD7"/>
    <w:rsid w:val="258C4EBE"/>
    <w:rsid w:val="258C799F"/>
    <w:rsid w:val="258E50DA"/>
    <w:rsid w:val="25933310"/>
    <w:rsid w:val="25A21573"/>
    <w:rsid w:val="25BC1C48"/>
    <w:rsid w:val="25BC57A4"/>
    <w:rsid w:val="25D6739F"/>
    <w:rsid w:val="25E46AA9"/>
    <w:rsid w:val="25E92465"/>
    <w:rsid w:val="25EB0FC4"/>
    <w:rsid w:val="26085350"/>
    <w:rsid w:val="26192BF6"/>
    <w:rsid w:val="26233E0A"/>
    <w:rsid w:val="26243349"/>
    <w:rsid w:val="2628108B"/>
    <w:rsid w:val="262B2929"/>
    <w:rsid w:val="262F653A"/>
    <w:rsid w:val="26357304"/>
    <w:rsid w:val="26393298"/>
    <w:rsid w:val="264A1ABD"/>
    <w:rsid w:val="265B26B4"/>
    <w:rsid w:val="26681488"/>
    <w:rsid w:val="26760048"/>
    <w:rsid w:val="26796A7A"/>
    <w:rsid w:val="26832765"/>
    <w:rsid w:val="26854220"/>
    <w:rsid w:val="2694227D"/>
    <w:rsid w:val="2698166F"/>
    <w:rsid w:val="26A1499A"/>
    <w:rsid w:val="26A30712"/>
    <w:rsid w:val="26A91EFC"/>
    <w:rsid w:val="26C64400"/>
    <w:rsid w:val="26F123E3"/>
    <w:rsid w:val="27003DB6"/>
    <w:rsid w:val="27101BAE"/>
    <w:rsid w:val="27111BEB"/>
    <w:rsid w:val="27144197"/>
    <w:rsid w:val="27175475"/>
    <w:rsid w:val="271A7A51"/>
    <w:rsid w:val="27223D2C"/>
    <w:rsid w:val="27370FEF"/>
    <w:rsid w:val="27411F8F"/>
    <w:rsid w:val="27427F2B"/>
    <w:rsid w:val="275B2D9A"/>
    <w:rsid w:val="27612030"/>
    <w:rsid w:val="276624A1"/>
    <w:rsid w:val="27744462"/>
    <w:rsid w:val="278B7B24"/>
    <w:rsid w:val="27A9562D"/>
    <w:rsid w:val="27BD3A55"/>
    <w:rsid w:val="27D50D9F"/>
    <w:rsid w:val="27DF1C1D"/>
    <w:rsid w:val="27E1101A"/>
    <w:rsid w:val="27E5576F"/>
    <w:rsid w:val="27F60D15"/>
    <w:rsid w:val="27FC632B"/>
    <w:rsid w:val="28041684"/>
    <w:rsid w:val="28087FFB"/>
    <w:rsid w:val="280A2EBF"/>
    <w:rsid w:val="28100029"/>
    <w:rsid w:val="28333D17"/>
    <w:rsid w:val="28392FAB"/>
    <w:rsid w:val="284321AC"/>
    <w:rsid w:val="285048C9"/>
    <w:rsid w:val="28777618"/>
    <w:rsid w:val="28795BCE"/>
    <w:rsid w:val="2885405C"/>
    <w:rsid w:val="288B3B53"/>
    <w:rsid w:val="288B5901"/>
    <w:rsid w:val="289C366A"/>
    <w:rsid w:val="289E73E3"/>
    <w:rsid w:val="28B07116"/>
    <w:rsid w:val="28BD5117"/>
    <w:rsid w:val="28BE5CD7"/>
    <w:rsid w:val="28C776B5"/>
    <w:rsid w:val="28CD1E0B"/>
    <w:rsid w:val="28CE02E2"/>
    <w:rsid w:val="28D63020"/>
    <w:rsid w:val="28E0041E"/>
    <w:rsid w:val="28EC2844"/>
    <w:rsid w:val="28F568D6"/>
    <w:rsid w:val="29127DD1"/>
    <w:rsid w:val="29360865"/>
    <w:rsid w:val="294A30C6"/>
    <w:rsid w:val="295B52D4"/>
    <w:rsid w:val="297D349C"/>
    <w:rsid w:val="29804D3A"/>
    <w:rsid w:val="298567F4"/>
    <w:rsid w:val="298E56A9"/>
    <w:rsid w:val="299566CF"/>
    <w:rsid w:val="299B1B74"/>
    <w:rsid w:val="299E79FD"/>
    <w:rsid w:val="29A26B02"/>
    <w:rsid w:val="29B45AB9"/>
    <w:rsid w:val="29B45F68"/>
    <w:rsid w:val="29BD3122"/>
    <w:rsid w:val="29C837D8"/>
    <w:rsid w:val="29CD22AB"/>
    <w:rsid w:val="29E63809"/>
    <w:rsid w:val="29EB7373"/>
    <w:rsid w:val="29F01EC0"/>
    <w:rsid w:val="2A2348E7"/>
    <w:rsid w:val="2A263B34"/>
    <w:rsid w:val="2A353998"/>
    <w:rsid w:val="2A364537"/>
    <w:rsid w:val="2A3873C3"/>
    <w:rsid w:val="2A587A65"/>
    <w:rsid w:val="2A5D6652"/>
    <w:rsid w:val="2A6B1546"/>
    <w:rsid w:val="2A7B3195"/>
    <w:rsid w:val="2A866380"/>
    <w:rsid w:val="2A8E16D9"/>
    <w:rsid w:val="2A907474"/>
    <w:rsid w:val="2AA902C1"/>
    <w:rsid w:val="2AB033FD"/>
    <w:rsid w:val="2AB949A8"/>
    <w:rsid w:val="2AD510B6"/>
    <w:rsid w:val="2AE24B93"/>
    <w:rsid w:val="2AF07C9E"/>
    <w:rsid w:val="2AF21C68"/>
    <w:rsid w:val="2AF259D4"/>
    <w:rsid w:val="2AF26F65"/>
    <w:rsid w:val="2B08148B"/>
    <w:rsid w:val="2B235B50"/>
    <w:rsid w:val="2B3A7C94"/>
    <w:rsid w:val="2B41674B"/>
    <w:rsid w:val="2B434A91"/>
    <w:rsid w:val="2B4D6E9E"/>
    <w:rsid w:val="2B51698E"/>
    <w:rsid w:val="2B5D17D7"/>
    <w:rsid w:val="2B671045"/>
    <w:rsid w:val="2B726516"/>
    <w:rsid w:val="2B943CB1"/>
    <w:rsid w:val="2B967B5D"/>
    <w:rsid w:val="2B9D1BD3"/>
    <w:rsid w:val="2BEE0BBE"/>
    <w:rsid w:val="2C186391"/>
    <w:rsid w:val="2C29790B"/>
    <w:rsid w:val="2C2E0A7D"/>
    <w:rsid w:val="2C3265B4"/>
    <w:rsid w:val="2C4B34E0"/>
    <w:rsid w:val="2C673F8F"/>
    <w:rsid w:val="2C6B3A80"/>
    <w:rsid w:val="2C7230D8"/>
    <w:rsid w:val="2C7241B3"/>
    <w:rsid w:val="2C792640"/>
    <w:rsid w:val="2C814969"/>
    <w:rsid w:val="2C91502E"/>
    <w:rsid w:val="2CB03B88"/>
    <w:rsid w:val="2CB52F4D"/>
    <w:rsid w:val="2CC55886"/>
    <w:rsid w:val="2CD03739"/>
    <w:rsid w:val="2CD21D51"/>
    <w:rsid w:val="2CD26F20"/>
    <w:rsid w:val="2CDF4FCE"/>
    <w:rsid w:val="2CFF2BCD"/>
    <w:rsid w:val="2D067C4C"/>
    <w:rsid w:val="2D214A86"/>
    <w:rsid w:val="2D256324"/>
    <w:rsid w:val="2D275FA9"/>
    <w:rsid w:val="2D285E15"/>
    <w:rsid w:val="2D3227EF"/>
    <w:rsid w:val="2D464810"/>
    <w:rsid w:val="2D5F5C06"/>
    <w:rsid w:val="2D6A3FD8"/>
    <w:rsid w:val="2D872B3B"/>
    <w:rsid w:val="2D8D662B"/>
    <w:rsid w:val="2D92328E"/>
    <w:rsid w:val="2D945258"/>
    <w:rsid w:val="2D9C016A"/>
    <w:rsid w:val="2DA57465"/>
    <w:rsid w:val="2DD54583"/>
    <w:rsid w:val="2DE25FC3"/>
    <w:rsid w:val="2DE75388"/>
    <w:rsid w:val="2DFE666C"/>
    <w:rsid w:val="2E00469C"/>
    <w:rsid w:val="2E037CF3"/>
    <w:rsid w:val="2E056598"/>
    <w:rsid w:val="2E0777D8"/>
    <w:rsid w:val="2E0A551A"/>
    <w:rsid w:val="2E0C3040"/>
    <w:rsid w:val="2E0D0F34"/>
    <w:rsid w:val="2E114AFB"/>
    <w:rsid w:val="2E165C6D"/>
    <w:rsid w:val="2E1B7727"/>
    <w:rsid w:val="2E2438C9"/>
    <w:rsid w:val="2E2736BD"/>
    <w:rsid w:val="2E2F0AFB"/>
    <w:rsid w:val="2E3810CC"/>
    <w:rsid w:val="2E420AB2"/>
    <w:rsid w:val="2E4307BD"/>
    <w:rsid w:val="2E5A0691"/>
    <w:rsid w:val="2E6800CC"/>
    <w:rsid w:val="2E7A444E"/>
    <w:rsid w:val="2E89643F"/>
    <w:rsid w:val="2EBA6F40"/>
    <w:rsid w:val="2EC4391B"/>
    <w:rsid w:val="2EC5452E"/>
    <w:rsid w:val="2ECB483A"/>
    <w:rsid w:val="2ECB72EC"/>
    <w:rsid w:val="2EEA4A0A"/>
    <w:rsid w:val="2EEC3C94"/>
    <w:rsid w:val="2EED2E72"/>
    <w:rsid w:val="2EF30E71"/>
    <w:rsid w:val="2EFF2BA5"/>
    <w:rsid w:val="2F08512F"/>
    <w:rsid w:val="2F0D7070"/>
    <w:rsid w:val="2F195A15"/>
    <w:rsid w:val="2F222792"/>
    <w:rsid w:val="2F2D3602"/>
    <w:rsid w:val="2F370591"/>
    <w:rsid w:val="2F526AE0"/>
    <w:rsid w:val="2F5A4B19"/>
    <w:rsid w:val="2F6101B9"/>
    <w:rsid w:val="2F76151F"/>
    <w:rsid w:val="2F85650D"/>
    <w:rsid w:val="2F9432ED"/>
    <w:rsid w:val="2F964344"/>
    <w:rsid w:val="2F9652B7"/>
    <w:rsid w:val="2FCD67FF"/>
    <w:rsid w:val="2FE44543"/>
    <w:rsid w:val="2FEA5603"/>
    <w:rsid w:val="2FF30490"/>
    <w:rsid w:val="2FFE344A"/>
    <w:rsid w:val="300C002E"/>
    <w:rsid w:val="300E1349"/>
    <w:rsid w:val="30110DE2"/>
    <w:rsid w:val="3029612C"/>
    <w:rsid w:val="302A37AB"/>
    <w:rsid w:val="303348B4"/>
    <w:rsid w:val="30451260"/>
    <w:rsid w:val="305435C4"/>
    <w:rsid w:val="30586A11"/>
    <w:rsid w:val="30605945"/>
    <w:rsid w:val="30765AE1"/>
    <w:rsid w:val="30774A46"/>
    <w:rsid w:val="307F4548"/>
    <w:rsid w:val="308710A4"/>
    <w:rsid w:val="30994395"/>
    <w:rsid w:val="309A0DD7"/>
    <w:rsid w:val="30AE6631"/>
    <w:rsid w:val="30B67293"/>
    <w:rsid w:val="30B803D7"/>
    <w:rsid w:val="30C23E8A"/>
    <w:rsid w:val="30DB4E12"/>
    <w:rsid w:val="30EB2F98"/>
    <w:rsid w:val="30F376E1"/>
    <w:rsid w:val="30FD3114"/>
    <w:rsid w:val="31286D0C"/>
    <w:rsid w:val="31294F86"/>
    <w:rsid w:val="313C59EB"/>
    <w:rsid w:val="314F0FD0"/>
    <w:rsid w:val="316A69FC"/>
    <w:rsid w:val="31741628"/>
    <w:rsid w:val="31745184"/>
    <w:rsid w:val="318F6462"/>
    <w:rsid w:val="319770C5"/>
    <w:rsid w:val="3199108F"/>
    <w:rsid w:val="31B9703B"/>
    <w:rsid w:val="31BD2FCF"/>
    <w:rsid w:val="31F711F5"/>
    <w:rsid w:val="32024E86"/>
    <w:rsid w:val="324A2389"/>
    <w:rsid w:val="3251196A"/>
    <w:rsid w:val="32684654"/>
    <w:rsid w:val="326966BE"/>
    <w:rsid w:val="32713DBA"/>
    <w:rsid w:val="328533C1"/>
    <w:rsid w:val="32943604"/>
    <w:rsid w:val="32A25D21"/>
    <w:rsid w:val="32AC0031"/>
    <w:rsid w:val="32BD2B5B"/>
    <w:rsid w:val="32CC2D9E"/>
    <w:rsid w:val="32CC5CB8"/>
    <w:rsid w:val="32D305D1"/>
    <w:rsid w:val="32D672FC"/>
    <w:rsid w:val="32E94B1A"/>
    <w:rsid w:val="32F4490A"/>
    <w:rsid w:val="32FA5B5D"/>
    <w:rsid w:val="331A35C8"/>
    <w:rsid w:val="332F5AAF"/>
    <w:rsid w:val="334A664A"/>
    <w:rsid w:val="334D3EDF"/>
    <w:rsid w:val="335F1E64"/>
    <w:rsid w:val="335F3CF4"/>
    <w:rsid w:val="336278F5"/>
    <w:rsid w:val="33753436"/>
    <w:rsid w:val="33843679"/>
    <w:rsid w:val="3390201E"/>
    <w:rsid w:val="339A3F64"/>
    <w:rsid w:val="33B773F5"/>
    <w:rsid w:val="33B977C6"/>
    <w:rsid w:val="33CB12A8"/>
    <w:rsid w:val="33DE1128"/>
    <w:rsid w:val="33E74B18"/>
    <w:rsid w:val="33EA7980"/>
    <w:rsid w:val="33EB36F8"/>
    <w:rsid w:val="33FD158E"/>
    <w:rsid w:val="33FF75D6"/>
    <w:rsid w:val="340D366E"/>
    <w:rsid w:val="341E3ACD"/>
    <w:rsid w:val="34313801"/>
    <w:rsid w:val="34314E95"/>
    <w:rsid w:val="343B01DB"/>
    <w:rsid w:val="343D03F7"/>
    <w:rsid w:val="344828F8"/>
    <w:rsid w:val="34533BE8"/>
    <w:rsid w:val="34626269"/>
    <w:rsid w:val="34713BFD"/>
    <w:rsid w:val="348778C5"/>
    <w:rsid w:val="34AE4D24"/>
    <w:rsid w:val="34B0607F"/>
    <w:rsid w:val="34BA1016"/>
    <w:rsid w:val="34BA675C"/>
    <w:rsid w:val="34BF39F8"/>
    <w:rsid w:val="34C06933"/>
    <w:rsid w:val="34DF151C"/>
    <w:rsid w:val="35035BC0"/>
    <w:rsid w:val="351C000D"/>
    <w:rsid w:val="3535688B"/>
    <w:rsid w:val="353A0493"/>
    <w:rsid w:val="35507CB7"/>
    <w:rsid w:val="355377A7"/>
    <w:rsid w:val="356674DA"/>
    <w:rsid w:val="35675000"/>
    <w:rsid w:val="356A2C20"/>
    <w:rsid w:val="35710807"/>
    <w:rsid w:val="35715AD4"/>
    <w:rsid w:val="35725E7F"/>
    <w:rsid w:val="357F059C"/>
    <w:rsid w:val="35861333"/>
    <w:rsid w:val="3593489E"/>
    <w:rsid w:val="35B025DF"/>
    <w:rsid w:val="35B67B4F"/>
    <w:rsid w:val="35D408E8"/>
    <w:rsid w:val="35D42696"/>
    <w:rsid w:val="35D5640E"/>
    <w:rsid w:val="35E623C9"/>
    <w:rsid w:val="35E81498"/>
    <w:rsid w:val="36006763"/>
    <w:rsid w:val="360D051D"/>
    <w:rsid w:val="360D22AD"/>
    <w:rsid w:val="361C403D"/>
    <w:rsid w:val="3627310D"/>
    <w:rsid w:val="366B28CE"/>
    <w:rsid w:val="36745C27"/>
    <w:rsid w:val="36820344"/>
    <w:rsid w:val="36835C3C"/>
    <w:rsid w:val="369528F9"/>
    <w:rsid w:val="36AC53C0"/>
    <w:rsid w:val="36B10DAC"/>
    <w:rsid w:val="36C21929"/>
    <w:rsid w:val="36EB68C6"/>
    <w:rsid w:val="36FF21F2"/>
    <w:rsid w:val="371D006C"/>
    <w:rsid w:val="371D201C"/>
    <w:rsid w:val="371F5B92"/>
    <w:rsid w:val="374777B8"/>
    <w:rsid w:val="374845EC"/>
    <w:rsid w:val="376C4B50"/>
    <w:rsid w:val="376C68FE"/>
    <w:rsid w:val="37814AE6"/>
    <w:rsid w:val="3788197B"/>
    <w:rsid w:val="37A367C3"/>
    <w:rsid w:val="37A83DDA"/>
    <w:rsid w:val="37BE35FD"/>
    <w:rsid w:val="37D16A8B"/>
    <w:rsid w:val="37E7601A"/>
    <w:rsid w:val="37EB1F18"/>
    <w:rsid w:val="38033706"/>
    <w:rsid w:val="380354B4"/>
    <w:rsid w:val="38044D88"/>
    <w:rsid w:val="381E22EE"/>
    <w:rsid w:val="38227B97"/>
    <w:rsid w:val="382C7046"/>
    <w:rsid w:val="383B40FF"/>
    <w:rsid w:val="38514471"/>
    <w:rsid w:val="385955D7"/>
    <w:rsid w:val="385D0E18"/>
    <w:rsid w:val="386273C7"/>
    <w:rsid w:val="388139D9"/>
    <w:rsid w:val="3887618B"/>
    <w:rsid w:val="388A1731"/>
    <w:rsid w:val="389415BD"/>
    <w:rsid w:val="38975BFC"/>
    <w:rsid w:val="38A071A7"/>
    <w:rsid w:val="38AD52C4"/>
    <w:rsid w:val="38C90E6C"/>
    <w:rsid w:val="38E803FA"/>
    <w:rsid w:val="38ED3A6E"/>
    <w:rsid w:val="38FB0441"/>
    <w:rsid w:val="390239BE"/>
    <w:rsid w:val="39184F8F"/>
    <w:rsid w:val="3930052B"/>
    <w:rsid w:val="39311BAD"/>
    <w:rsid w:val="393D20B8"/>
    <w:rsid w:val="393D67A4"/>
    <w:rsid w:val="394871E4"/>
    <w:rsid w:val="39535E82"/>
    <w:rsid w:val="39581830"/>
    <w:rsid w:val="395F671A"/>
    <w:rsid w:val="39B80DE2"/>
    <w:rsid w:val="39B8407C"/>
    <w:rsid w:val="39D4535A"/>
    <w:rsid w:val="39DC4902"/>
    <w:rsid w:val="39E11825"/>
    <w:rsid w:val="39F41826"/>
    <w:rsid w:val="39F57E9E"/>
    <w:rsid w:val="3A003AA0"/>
    <w:rsid w:val="3A197112"/>
    <w:rsid w:val="3A2160C5"/>
    <w:rsid w:val="3A244FA6"/>
    <w:rsid w:val="3A257964"/>
    <w:rsid w:val="3A3653A2"/>
    <w:rsid w:val="3A42476A"/>
    <w:rsid w:val="3A4818A4"/>
    <w:rsid w:val="3A59463F"/>
    <w:rsid w:val="3A6A181A"/>
    <w:rsid w:val="3A704957"/>
    <w:rsid w:val="3A726921"/>
    <w:rsid w:val="3A844F68"/>
    <w:rsid w:val="3A91750A"/>
    <w:rsid w:val="3AA16D24"/>
    <w:rsid w:val="3AA32C70"/>
    <w:rsid w:val="3AA80595"/>
    <w:rsid w:val="3AAF1AC1"/>
    <w:rsid w:val="3AB42A96"/>
    <w:rsid w:val="3AD36097"/>
    <w:rsid w:val="3AD924FC"/>
    <w:rsid w:val="3AE80991"/>
    <w:rsid w:val="3AE8273F"/>
    <w:rsid w:val="3AFA2CFD"/>
    <w:rsid w:val="3B094D12"/>
    <w:rsid w:val="3B0F731E"/>
    <w:rsid w:val="3B1874C8"/>
    <w:rsid w:val="3B2E2848"/>
    <w:rsid w:val="3B443E1A"/>
    <w:rsid w:val="3B4B46C8"/>
    <w:rsid w:val="3B626996"/>
    <w:rsid w:val="3B6678E8"/>
    <w:rsid w:val="3B712389"/>
    <w:rsid w:val="3B7566C9"/>
    <w:rsid w:val="3B7837BF"/>
    <w:rsid w:val="3B824942"/>
    <w:rsid w:val="3B847236"/>
    <w:rsid w:val="3B89694A"/>
    <w:rsid w:val="3B8E44FD"/>
    <w:rsid w:val="3B8E778B"/>
    <w:rsid w:val="3BA50630"/>
    <w:rsid w:val="3BB80364"/>
    <w:rsid w:val="3BB826C9"/>
    <w:rsid w:val="3BBB6ABA"/>
    <w:rsid w:val="3BC211E2"/>
    <w:rsid w:val="3BC27434"/>
    <w:rsid w:val="3BC61B14"/>
    <w:rsid w:val="3BCB62E9"/>
    <w:rsid w:val="3BD01B51"/>
    <w:rsid w:val="3BD72EE0"/>
    <w:rsid w:val="3BDC6B76"/>
    <w:rsid w:val="3BF43905"/>
    <w:rsid w:val="3BF75330"/>
    <w:rsid w:val="3BFC2946"/>
    <w:rsid w:val="3BFE2D9B"/>
    <w:rsid w:val="3C0D6901"/>
    <w:rsid w:val="3C19571A"/>
    <w:rsid w:val="3C2459F9"/>
    <w:rsid w:val="3C2D0CB2"/>
    <w:rsid w:val="3C4B567C"/>
    <w:rsid w:val="3C502C92"/>
    <w:rsid w:val="3C722C08"/>
    <w:rsid w:val="3C8A51CD"/>
    <w:rsid w:val="3C8B7826"/>
    <w:rsid w:val="3C8D6619"/>
    <w:rsid w:val="3C940DD1"/>
    <w:rsid w:val="3C9C1A33"/>
    <w:rsid w:val="3CA31014"/>
    <w:rsid w:val="3CC203DF"/>
    <w:rsid w:val="3CCA65A0"/>
    <w:rsid w:val="3CE07FB4"/>
    <w:rsid w:val="3CE21B3C"/>
    <w:rsid w:val="3CE53DCB"/>
    <w:rsid w:val="3CFB49AC"/>
    <w:rsid w:val="3CFC24D2"/>
    <w:rsid w:val="3D047202"/>
    <w:rsid w:val="3D05582A"/>
    <w:rsid w:val="3D070AC1"/>
    <w:rsid w:val="3D0E0B83"/>
    <w:rsid w:val="3D271E20"/>
    <w:rsid w:val="3D2F28A7"/>
    <w:rsid w:val="3D3307F9"/>
    <w:rsid w:val="3D37175C"/>
    <w:rsid w:val="3D4D2D2E"/>
    <w:rsid w:val="3D711112"/>
    <w:rsid w:val="3D9077EA"/>
    <w:rsid w:val="3D98669F"/>
    <w:rsid w:val="3DA11D84"/>
    <w:rsid w:val="3DB1150E"/>
    <w:rsid w:val="3DCE3E6E"/>
    <w:rsid w:val="3DEF6B7F"/>
    <w:rsid w:val="3E18333B"/>
    <w:rsid w:val="3E1C72D0"/>
    <w:rsid w:val="3E21744F"/>
    <w:rsid w:val="3E2864DC"/>
    <w:rsid w:val="3E2A0839"/>
    <w:rsid w:val="3E3C5327"/>
    <w:rsid w:val="3E44497C"/>
    <w:rsid w:val="3E52684D"/>
    <w:rsid w:val="3E5F540E"/>
    <w:rsid w:val="3E880C9B"/>
    <w:rsid w:val="3E886713"/>
    <w:rsid w:val="3E9C39CA"/>
    <w:rsid w:val="3EA11583"/>
    <w:rsid w:val="3EA177D5"/>
    <w:rsid w:val="3EA572C5"/>
    <w:rsid w:val="3EB72B54"/>
    <w:rsid w:val="3EC102A8"/>
    <w:rsid w:val="3EC51715"/>
    <w:rsid w:val="3EC60FE9"/>
    <w:rsid w:val="3ECD4126"/>
    <w:rsid w:val="3ED71449"/>
    <w:rsid w:val="3F4D5E52"/>
    <w:rsid w:val="3F5B3E28"/>
    <w:rsid w:val="3F7515BF"/>
    <w:rsid w:val="3F79605C"/>
    <w:rsid w:val="3F8073EA"/>
    <w:rsid w:val="3FA7706D"/>
    <w:rsid w:val="3FCE0156"/>
    <w:rsid w:val="3FD54415"/>
    <w:rsid w:val="400718BA"/>
    <w:rsid w:val="400D3374"/>
    <w:rsid w:val="40185875"/>
    <w:rsid w:val="40295CD4"/>
    <w:rsid w:val="4036334F"/>
    <w:rsid w:val="403A5C13"/>
    <w:rsid w:val="404104E3"/>
    <w:rsid w:val="4041301D"/>
    <w:rsid w:val="40786313"/>
    <w:rsid w:val="4081166C"/>
    <w:rsid w:val="409B64AF"/>
    <w:rsid w:val="40A23390"/>
    <w:rsid w:val="40A60851"/>
    <w:rsid w:val="40B44F66"/>
    <w:rsid w:val="40B82BB4"/>
    <w:rsid w:val="40BC54A1"/>
    <w:rsid w:val="40BE01CA"/>
    <w:rsid w:val="40CE4185"/>
    <w:rsid w:val="40D17E3D"/>
    <w:rsid w:val="40DB38F6"/>
    <w:rsid w:val="40DC68A2"/>
    <w:rsid w:val="40DE261A"/>
    <w:rsid w:val="40DF6392"/>
    <w:rsid w:val="40F27DC8"/>
    <w:rsid w:val="40FA75EE"/>
    <w:rsid w:val="40FB141E"/>
    <w:rsid w:val="41036234"/>
    <w:rsid w:val="41070685"/>
    <w:rsid w:val="411249BA"/>
    <w:rsid w:val="4113184D"/>
    <w:rsid w:val="4125649B"/>
    <w:rsid w:val="41284AD7"/>
    <w:rsid w:val="412C782A"/>
    <w:rsid w:val="41326449"/>
    <w:rsid w:val="4148218A"/>
    <w:rsid w:val="416D399E"/>
    <w:rsid w:val="4176728B"/>
    <w:rsid w:val="417B255F"/>
    <w:rsid w:val="417B2AC1"/>
    <w:rsid w:val="418331C2"/>
    <w:rsid w:val="4185640F"/>
    <w:rsid w:val="41C932CA"/>
    <w:rsid w:val="41D028AB"/>
    <w:rsid w:val="41D86187"/>
    <w:rsid w:val="41E9396D"/>
    <w:rsid w:val="41F61E31"/>
    <w:rsid w:val="420312D2"/>
    <w:rsid w:val="42084491"/>
    <w:rsid w:val="421502BE"/>
    <w:rsid w:val="42203D4E"/>
    <w:rsid w:val="423D63CB"/>
    <w:rsid w:val="42674891"/>
    <w:rsid w:val="42813BA5"/>
    <w:rsid w:val="42892EF4"/>
    <w:rsid w:val="42AD6748"/>
    <w:rsid w:val="42B45D29"/>
    <w:rsid w:val="42C623F0"/>
    <w:rsid w:val="42DA2A94"/>
    <w:rsid w:val="42F223AD"/>
    <w:rsid w:val="42F557D1"/>
    <w:rsid w:val="42F84A65"/>
    <w:rsid w:val="43175D46"/>
    <w:rsid w:val="431A3006"/>
    <w:rsid w:val="432E1164"/>
    <w:rsid w:val="434102E1"/>
    <w:rsid w:val="43476B9D"/>
    <w:rsid w:val="435B43F6"/>
    <w:rsid w:val="435C016E"/>
    <w:rsid w:val="435F1A11"/>
    <w:rsid w:val="43670FED"/>
    <w:rsid w:val="437B66E6"/>
    <w:rsid w:val="43827BD5"/>
    <w:rsid w:val="43930BF7"/>
    <w:rsid w:val="43987C34"/>
    <w:rsid w:val="43A23DD3"/>
    <w:rsid w:val="43AE5A1B"/>
    <w:rsid w:val="43C7531C"/>
    <w:rsid w:val="43D9054A"/>
    <w:rsid w:val="43E4263E"/>
    <w:rsid w:val="43E67164"/>
    <w:rsid w:val="43F14D5A"/>
    <w:rsid w:val="43F6411F"/>
    <w:rsid w:val="43FA4BB7"/>
    <w:rsid w:val="43FB7987"/>
    <w:rsid w:val="44000AFA"/>
    <w:rsid w:val="44054275"/>
    <w:rsid w:val="440E1469"/>
    <w:rsid w:val="441B1DD7"/>
    <w:rsid w:val="44352E99"/>
    <w:rsid w:val="444430DC"/>
    <w:rsid w:val="444937C2"/>
    <w:rsid w:val="445F7F16"/>
    <w:rsid w:val="44624BFC"/>
    <w:rsid w:val="44735770"/>
    <w:rsid w:val="4476700E"/>
    <w:rsid w:val="44785427"/>
    <w:rsid w:val="448B4867"/>
    <w:rsid w:val="44952958"/>
    <w:rsid w:val="44BE7304"/>
    <w:rsid w:val="44BF2763"/>
    <w:rsid w:val="44C9538F"/>
    <w:rsid w:val="44D51F86"/>
    <w:rsid w:val="44F00B6E"/>
    <w:rsid w:val="44F171B0"/>
    <w:rsid w:val="44F7014F"/>
    <w:rsid w:val="44F90B9D"/>
    <w:rsid w:val="44F93EC7"/>
    <w:rsid w:val="451B0311"/>
    <w:rsid w:val="452D1DC2"/>
    <w:rsid w:val="454B2A06"/>
    <w:rsid w:val="4557299B"/>
    <w:rsid w:val="45580A39"/>
    <w:rsid w:val="457B42DC"/>
    <w:rsid w:val="45806396"/>
    <w:rsid w:val="459260C9"/>
    <w:rsid w:val="459C4852"/>
    <w:rsid w:val="45A007E6"/>
    <w:rsid w:val="45A360DF"/>
    <w:rsid w:val="45B7168C"/>
    <w:rsid w:val="45B85B30"/>
    <w:rsid w:val="45D1274E"/>
    <w:rsid w:val="45DF32BF"/>
    <w:rsid w:val="45E05087"/>
    <w:rsid w:val="45EF0E26"/>
    <w:rsid w:val="45F242EB"/>
    <w:rsid w:val="45F44AF1"/>
    <w:rsid w:val="4602443C"/>
    <w:rsid w:val="460433B2"/>
    <w:rsid w:val="46080139"/>
    <w:rsid w:val="46184995"/>
    <w:rsid w:val="46302710"/>
    <w:rsid w:val="46326753"/>
    <w:rsid w:val="465A6BE7"/>
    <w:rsid w:val="46603AD2"/>
    <w:rsid w:val="466478F7"/>
    <w:rsid w:val="466A30DC"/>
    <w:rsid w:val="466A4950"/>
    <w:rsid w:val="467001B9"/>
    <w:rsid w:val="46A240EA"/>
    <w:rsid w:val="46A319CD"/>
    <w:rsid w:val="46AF6F81"/>
    <w:rsid w:val="46B61944"/>
    <w:rsid w:val="46BD0F24"/>
    <w:rsid w:val="46CB6601"/>
    <w:rsid w:val="46EA2E17"/>
    <w:rsid w:val="46EE086D"/>
    <w:rsid w:val="470120C9"/>
    <w:rsid w:val="471E5E67"/>
    <w:rsid w:val="47266AC9"/>
    <w:rsid w:val="47267801"/>
    <w:rsid w:val="472F6522"/>
    <w:rsid w:val="47330D35"/>
    <w:rsid w:val="474B6530"/>
    <w:rsid w:val="476870E2"/>
    <w:rsid w:val="476A10AC"/>
    <w:rsid w:val="47971775"/>
    <w:rsid w:val="47A10846"/>
    <w:rsid w:val="47AD2D46"/>
    <w:rsid w:val="47B916EB"/>
    <w:rsid w:val="47C84024"/>
    <w:rsid w:val="47D02023"/>
    <w:rsid w:val="47D639DB"/>
    <w:rsid w:val="4802608A"/>
    <w:rsid w:val="481608EC"/>
    <w:rsid w:val="48223734"/>
    <w:rsid w:val="483708E5"/>
    <w:rsid w:val="48396CD0"/>
    <w:rsid w:val="483B59A8"/>
    <w:rsid w:val="48476601"/>
    <w:rsid w:val="4856518C"/>
    <w:rsid w:val="485F64E4"/>
    <w:rsid w:val="48684949"/>
    <w:rsid w:val="48757D08"/>
    <w:rsid w:val="487B457C"/>
    <w:rsid w:val="48963CFA"/>
    <w:rsid w:val="489729C2"/>
    <w:rsid w:val="48C11217"/>
    <w:rsid w:val="48C52312"/>
    <w:rsid w:val="48D104C6"/>
    <w:rsid w:val="48D24A1A"/>
    <w:rsid w:val="48EE1869"/>
    <w:rsid w:val="48FD3641"/>
    <w:rsid w:val="490364D5"/>
    <w:rsid w:val="490966A2"/>
    <w:rsid w:val="49184B37"/>
    <w:rsid w:val="49184CA6"/>
    <w:rsid w:val="492359B6"/>
    <w:rsid w:val="492C413F"/>
    <w:rsid w:val="493F0316"/>
    <w:rsid w:val="494F67AB"/>
    <w:rsid w:val="495F62C2"/>
    <w:rsid w:val="49782F6E"/>
    <w:rsid w:val="49956188"/>
    <w:rsid w:val="49B26D3A"/>
    <w:rsid w:val="49C34AA3"/>
    <w:rsid w:val="49C5081B"/>
    <w:rsid w:val="49E1317B"/>
    <w:rsid w:val="49F70BF1"/>
    <w:rsid w:val="49FC25C6"/>
    <w:rsid w:val="49FD47C6"/>
    <w:rsid w:val="4A0A52C4"/>
    <w:rsid w:val="4A266DE0"/>
    <w:rsid w:val="4A635BBB"/>
    <w:rsid w:val="4A844143"/>
    <w:rsid w:val="4A90145A"/>
    <w:rsid w:val="4A9D3546"/>
    <w:rsid w:val="4AA06B93"/>
    <w:rsid w:val="4AA21396"/>
    <w:rsid w:val="4AA800A8"/>
    <w:rsid w:val="4AB12B4E"/>
    <w:rsid w:val="4AB16A58"/>
    <w:rsid w:val="4AC103CF"/>
    <w:rsid w:val="4AD02115"/>
    <w:rsid w:val="4AD20CD3"/>
    <w:rsid w:val="4ADD3943"/>
    <w:rsid w:val="4AE72A13"/>
    <w:rsid w:val="4B0E7FA0"/>
    <w:rsid w:val="4B17076A"/>
    <w:rsid w:val="4B3D6CD3"/>
    <w:rsid w:val="4B3F45FD"/>
    <w:rsid w:val="4B492A9E"/>
    <w:rsid w:val="4B52627F"/>
    <w:rsid w:val="4B5300A9"/>
    <w:rsid w:val="4B531E57"/>
    <w:rsid w:val="4B564475"/>
    <w:rsid w:val="4B58746D"/>
    <w:rsid w:val="4B663938"/>
    <w:rsid w:val="4B7C13AE"/>
    <w:rsid w:val="4B840262"/>
    <w:rsid w:val="4B8B7843"/>
    <w:rsid w:val="4B8C2CF5"/>
    <w:rsid w:val="4B970143"/>
    <w:rsid w:val="4B9A1834"/>
    <w:rsid w:val="4BB26B7D"/>
    <w:rsid w:val="4BB548C0"/>
    <w:rsid w:val="4BB74194"/>
    <w:rsid w:val="4BC66ACD"/>
    <w:rsid w:val="4BCD7F23"/>
    <w:rsid w:val="4BD44D46"/>
    <w:rsid w:val="4BD947C4"/>
    <w:rsid w:val="4BE3142D"/>
    <w:rsid w:val="4BFB49C8"/>
    <w:rsid w:val="4C15535E"/>
    <w:rsid w:val="4C1A4723"/>
    <w:rsid w:val="4C26756B"/>
    <w:rsid w:val="4C39729F"/>
    <w:rsid w:val="4C3A6575"/>
    <w:rsid w:val="4C3B38E7"/>
    <w:rsid w:val="4C405C87"/>
    <w:rsid w:val="4C433C79"/>
    <w:rsid w:val="4C544933"/>
    <w:rsid w:val="4C567E51"/>
    <w:rsid w:val="4C5E66D1"/>
    <w:rsid w:val="4C667968"/>
    <w:rsid w:val="4C691B43"/>
    <w:rsid w:val="4C9E35A6"/>
    <w:rsid w:val="4CA02E7A"/>
    <w:rsid w:val="4CAC5CC3"/>
    <w:rsid w:val="4CB07D39"/>
    <w:rsid w:val="4CC56D84"/>
    <w:rsid w:val="4CE54D31"/>
    <w:rsid w:val="4CFA74A1"/>
    <w:rsid w:val="4CFC0284"/>
    <w:rsid w:val="4CFE481C"/>
    <w:rsid w:val="4D072EF9"/>
    <w:rsid w:val="4D0B7024"/>
    <w:rsid w:val="4D0E72DC"/>
    <w:rsid w:val="4D175555"/>
    <w:rsid w:val="4D2C6E03"/>
    <w:rsid w:val="4D467EC5"/>
    <w:rsid w:val="4D4B3A41"/>
    <w:rsid w:val="4D4D249B"/>
    <w:rsid w:val="4D577C3F"/>
    <w:rsid w:val="4D5A571F"/>
    <w:rsid w:val="4D7B3FEC"/>
    <w:rsid w:val="4D9F3131"/>
    <w:rsid w:val="4DA44BEC"/>
    <w:rsid w:val="4DA92202"/>
    <w:rsid w:val="4DB20CFA"/>
    <w:rsid w:val="4DB90697"/>
    <w:rsid w:val="4DBD573E"/>
    <w:rsid w:val="4DBF44B5"/>
    <w:rsid w:val="4DDF05D0"/>
    <w:rsid w:val="4DDF3E76"/>
    <w:rsid w:val="4DED76FF"/>
    <w:rsid w:val="4DF47921"/>
    <w:rsid w:val="4DF571F5"/>
    <w:rsid w:val="4E04568A"/>
    <w:rsid w:val="4E0B4C6B"/>
    <w:rsid w:val="4E143B1F"/>
    <w:rsid w:val="4E2E11C9"/>
    <w:rsid w:val="4E3E294A"/>
    <w:rsid w:val="4E4361B3"/>
    <w:rsid w:val="4E465CA3"/>
    <w:rsid w:val="4E593C28"/>
    <w:rsid w:val="4E5B30C6"/>
    <w:rsid w:val="4E653E1A"/>
    <w:rsid w:val="4E966BE3"/>
    <w:rsid w:val="4EA84268"/>
    <w:rsid w:val="4EB43EA1"/>
    <w:rsid w:val="4EBB7B0E"/>
    <w:rsid w:val="4EBF30C8"/>
    <w:rsid w:val="4EC07803"/>
    <w:rsid w:val="4EC33F0B"/>
    <w:rsid w:val="4ED14913"/>
    <w:rsid w:val="4ED25CA6"/>
    <w:rsid w:val="4ED450BE"/>
    <w:rsid w:val="4ED82D9F"/>
    <w:rsid w:val="4EE87C3A"/>
    <w:rsid w:val="4EEA2AD2"/>
    <w:rsid w:val="4EF4199A"/>
    <w:rsid w:val="4F147B4F"/>
    <w:rsid w:val="4F2A7E0A"/>
    <w:rsid w:val="4F336861"/>
    <w:rsid w:val="4F602D94"/>
    <w:rsid w:val="4F6463E1"/>
    <w:rsid w:val="4F672375"/>
    <w:rsid w:val="4F675ED1"/>
    <w:rsid w:val="4F6975C0"/>
    <w:rsid w:val="4F6C5EFF"/>
    <w:rsid w:val="4F98252E"/>
    <w:rsid w:val="4FAF054A"/>
    <w:rsid w:val="4FC71A75"/>
    <w:rsid w:val="4FD42E35"/>
    <w:rsid w:val="4FEE7BE1"/>
    <w:rsid w:val="4FF9121F"/>
    <w:rsid w:val="4FFD2C64"/>
    <w:rsid w:val="500A3750"/>
    <w:rsid w:val="500A79A0"/>
    <w:rsid w:val="5026110B"/>
    <w:rsid w:val="504601DC"/>
    <w:rsid w:val="50770674"/>
    <w:rsid w:val="508A1A1C"/>
    <w:rsid w:val="509D25DB"/>
    <w:rsid w:val="50A373DC"/>
    <w:rsid w:val="50AB7F7F"/>
    <w:rsid w:val="50BB64D4"/>
    <w:rsid w:val="50C5239F"/>
    <w:rsid w:val="50DB44DA"/>
    <w:rsid w:val="50DB60D2"/>
    <w:rsid w:val="50E52CE1"/>
    <w:rsid w:val="50ED1207"/>
    <w:rsid w:val="50FB4B23"/>
    <w:rsid w:val="510A2FB8"/>
    <w:rsid w:val="51152DF3"/>
    <w:rsid w:val="511569DC"/>
    <w:rsid w:val="512C73D2"/>
    <w:rsid w:val="512E2561"/>
    <w:rsid w:val="513B13C3"/>
    <w:rsid w:val="51654A16"/>
    <w:rsid w:val="51954A02"/>
    <w:rsid w:val="519F7BA4"/>
    <w:rsid w:val="51A21548"/>
    <w:rsid w:val="51B86EB8"/>
    <w:rsid w:val="51B972FE"/>
    <w:rsid w:val="51EB2DE9"/>
    <w:rsid w:val="520E24F1"/>
    <w:rsid w:val="525070F0"/>
    <w:rsid w:val="52513DBD"/>
    <w:rsid w:val="527C5896"/>
    <w:rsid w:val="528A0854"/>
    <w:rsid w:val="529C42F1"/>
    <w:rsid w:val="52A50D64"/>
    <w:rsid w:val="52CA29FF"/>
    <w:rsid w:val="52CD0328"/>
    <w:rsid w:val="52EC6E19"/>
    <w:rsid w:val="52F15CEF"/>
    <w:rsid w:val="52F201A7"/>
    <w:rsid w:val="533B1B4E"/>
    <w:rsid w:val="534D2403"/>
    <w:rsid w:val="535728A1"/>
    <w:rsid w:val="53605111"/>
    <w:rsid w:val="53647A6C"/>
    <w:rsid w:val="537C6F40"/>
    <w:rsid w:val="538136BB"/>
    <w:rsid w:val="53943E1F"/>
    <w:rsid w:val="539A6B0A"/>
    <w:rsid w:val="539B691C"/>
    <w:rsid w:val="53B92A73"/>
    <w:rsid w:val="53E2021C"/>
    <w:rsid w:val="53E73A84"/>
    <w:rsid w:val="540174BE"/>
    <w:rsid w:val="54161C73"/>
    <w:rsid w:val="541D1A4A"/>
    <w:rsid w:val="542D593B"/>
    <w:rsid w:val="54356778"/>
    <w:rsid w:val="54465FFA"/>
    <w:rsid w:val="5452714F"/>
    <w:rsid w:val="546A6D99"/>
    <w:rsid w:val="54752E3E"/>
    <w:rsid w:val="5475469D"/>
    <w:rsid w:val="548973B1"/>
    <w:rsid w:val="54C17E31"/>
    <w:rsid w:val="54D272FC"/>
    <w:rsid w:val="54E029AD"/>
    <w:rsid w:val="54EB3100"/>
    <w:rsid w:val="54F93A6F"/>
    <w:rsid w:val="54FA3343"/>
    <w:rsid w:val="55061CE8"/>
    <w:rsid w:val="550B7360"/>
    <w:rsid w:val="550C4300"/>
    <w:rsid w:val="551A6815"/>
    <w:rsid w:val="55222FC6"/>
    <w:rsid w:val="55287EB0"/>
    <w:rsid w:val="552A3B8C"/>
    <w:rsid w:val="55342B44"/>
    <w:rsid w:val="55344AA7"/>
    <w:rsid w:val="553D1BAE"/>
    <w:rsid w:val="5551200A"/>
    <w:rsid w:val="55562C6F"/>
    <w:rsid w:val="555E38D2"/>
    <w:rsid w:val="5560764A"/>
    <w:rsid w:val="55690291"/>
    <w:rsid w:val="556C4241"/>
    <w:rsid w:val="55747599"/>
    <w:rsid w:val="55767535"/>
    <w:rsid w:val="55774994"/>
    <w:rsid w:val="558E065B"/>
    <w:rsid w:val="55AA6B17"/>
    <w:rsid w:val="55AC288F"/>
    <w:rsid w:val="55C5704D"/>
    <w:rsid w:val="55E87431"/>
    <w:rsid w:val="55F75616"/>
    <w:rsid w:val="560501F2"/>
    <w:rsid w:val="562C39D0"/>
    <w:rsid w:val="563332FB"/>
    <w:rsid w:val="56335520"/>
    <w:rsid w:val="56401858"/>
    <w:rsid w:val="5640367A"/>
    <w:rsid w:val="56574EF1"/>
    <w:rsid w:val="567710EF"/>
    <w:rsid w:val="567B78F1"/>
    <w:rsid w:val="567E3D71"/>
    <w:rsid w:val="567F7FA4"/>
    <w:rsid w:val="568A7075"/>
    <w:rsid w:val="56951D09"/>
    <w:rsid w:val="56C500AD"/>
    <w:rsid w:val="56F1760F"/>
    <w:rsid w:val="56FC15F5"/>
    <w:rsid w:val="570B1838"/>
    <w:rsid w:val="57122BC6"/>
    <w:rsid w:val="571A1A7B"/>
    <w:rsid w:val="573568B4"/>
    <w:rsid w:val="573973D3"/>
    <w:rsid w:val="574511ED"/>
    <w:rsid w:val="57480C86"/>
    <w:rsid w:val="5751312E"/>
    <w:rsid w:val="57627125"/>
    <w:rsid w:val="57656B7F"/>
    <w:rsid w:val="57802226"/>
    <w:rsid w:val="578541E1"/>
    <w:rsid w:val="57A8352A"/>
    <w:rsid w:val="57AC301B"/>
    <w:rsid w:val="57CF2865"/>
    <w:rsid w:val="57DB56AE"/>
    <w:rsid w:val="57E722A5"/>
    <w:rsid w:val="57FA5C7F"/>
    <w:rsid w:val="58021EC7"/>
    <w:rsid w:val="58253855"/>
    <w:rsid w:val="5842437A"/>
    <w:rsid w:val="586E4294"/>
    <w:rsid w:val="587578B0"/>
    <w:rsid w:val="588048AC"/>
    <w:rsid w:val="588C4742"/>
    <w:rsid w:val="588E2720"/>
    <w:rsid w:val="5898534D"/>
    <w:rsid w:val="589D490F"/>
    <w:rsid w:val="58C12994"/>
    <w:rsid w:val="58D6466F"/>
    <w:rsid w:val="58DE5456"/>
    <w:rsid w:val="58EC648C"/>
    <w:rsid w:val="58ED5699"/>
    <w:rsid w:val="58F82C4C"/>
    <w:rsid w:val="59162E41"/>
    <w:rsid w:val="59276FF4"/>
    <w:rsid w:val="59283038"/>
    <w:rsid w:val="592B1B92"/>
    <w:rsid w:val="593212FE"/>
    <w:rsid w:val="59451FCE"/>
    <w:rsid w:val="59475512"/>
    <w:rsid w:val="594A4D6A"/>
    <w:rsid w:val="59575208"/>
    <w:rsid w:val="595A2602"/>
    <w:rsid w:val="597B196F"/>
    <w:rsid w:val="59A61C46"/>
    <w:rsid w:val="59A71CEC"/>
    <w:rsid w:val="59B368E2"/>
    <w:rsid w:val="59C508CD"/>
    <w:rsid w:val="59EA197B"/>
    <w:rsid w:val="59F9006D"/>
    <w:rsid w:val="5A1E15E4"/>
    <w:rsid w:val="5A2A2011"/>
    <w:rsid w:val="5A4A2677"/>
    <w:rsid w:val="5A600E9A"/>
    <w:rsid w:val="5A605F68"/>
    <w:rsid w:val="5A6D21FC"/>
    <w:rsid w:val="5A7D2A4C"/>
    <w:rsid w:val="5A8B5066"/>
    <w:rsid w:val="5A9102A6"/>
    <w:rsid w:val="5A9C52D8"/>
    <w:rsid w:val="5AA61FA3"/>
    <w:rsid w:val="5AB86F13"/>
    <w:rsid w:val="5ABA77FD"/>
    <w:rsid w:val="5ABE047D"/>
    <w:rsid w:val="5AF37C7F"/>
    <w:rsid w:val="5B015AA6"/>
    <w:rsid w:val="5B077BB6"/>
    <w:rsid w:val="5B1213E7"/>
    <w:rsid w:val="5B12588A"/>
    <w:rsid w:val="5B4D4167"/>
    <w:rsid w:val="5B523D19"/>
    <w:rsid w:val="5B615ECA"/>
    <w:rsid w:val="5B660C1D"/>
    <w:rsid w:val="5B6D0D13"/>
    <w:rsid w:val="5B6E40A1"/>
    <w:rsid w:val="5B8B7926"/>
    <w:rsid w:val="5BAC183B"/>
    <w:rsid w:val="5BAF679D"/>
    <w:rsid w:val="5BB91D5D"/>
    <w:rsid w:val="5BBC1352"/>
    <w:rsid w:val="5BCE7A03"/>
    <w:rsid w:val="5BD14DFE"/>
    <w:rsid w:val="5BDC7D18"/>
    <w:rsid w:val="5BF3746A"/>
    <w:rsid w:val="5BF67507"/>
    <w:rsid w:val="5BFB6943"/>
    <w:rsid w:val="5C084D4F"/>
    <w:rsid w:val="5C0C22DA"/>
    <w:rsid w:val="5C221AFD"/>
    <w:rsid w:val="5C277114"/>
    <w:rsid w:val="5C33242A"/>
    <w:rsid w:val="5C3710A4"/>
    <w:rsid w:val="5C45759A"/>
    <w:rsid w:val="5C4C0928"/>
    <w:rsid w:val="5C4C26D6"/>
    <w:rsid w:val="5C5934B7"/>
    <w:rsid w:val="5CA42B0C"/>
    <w:rsid w:val="5CA442C0"/>
    <w:rsid w:val="5CAD1416"/>
    <w:rsid w:val="5CB62498"/>
    <w:rsid w:val="5CBD1826"/>
    <w:rsid w:val="5CDF354A"/>
    <w:rsid w:val="5CEC34B0"/>
    <w:rsid w:val="5CED210B"/>
    <w:rsid w:val="5CF214D0"/>
    <w:rsid w:val="5CFF4735"/>
    <w:rsid w:val="5D170F36"/>
    <w:rsid w:val="5D26561D"/>
    <w:rsid w:val="5D320BE3"/>
    <w:rsid w:val="5D533962"/>
    <w:rsid w:val="5D6972B8"/>
    <w:rsid w:val="5D7719D5"/>
    <w:rsid w:val="5D8D11F8"/>
    <w:rsid w:val="5DA36C6E"/>
    <w:rsid w:val="5DA86032"/>
    <w:rsid w:val="5DB1138B"/>
    <w:rsid w:val="5DBC1ADE"/>
    <w:rsid w:val="5DBE13B2"/>
    <w:rsid w:val="5DBE7604"/>
    <w:rsid w:val="5DC170F4"/>
    <w:rsid w:val="5DCE25DD"/>
    <w:rsid w:val="5DCE5755"/>
    <w:rsid w:val="5DE40BB1"/>
    <w:rsid w:val="5DF47437"/>
    <w:rsid w:val="5DF573AF"/>
    <w:rsid w:val="5E082F75"/>
    <w:rsid w:val="5E0A0A9B"/>
    <w:rsid w:val="5E115985"/>
    <w:rsid w:val="5E2751A9"/>
    <w:rsid w:val="5E394EDC"/>
    <w:rsid w:val="5E3E33BB"/>
    <w:rsid w:val="5E5B3167"/>
    <w:rsid w:val="5E6E1993"/>
    <w:rsid w:val="5E6F4DA2"/>
    <w:rsid w:val="5E796A43"/>
    <w:rsid w:val="5E89073A"/>
    <w:rsid w:val="5EA26F25"/>
    <w:rsid w:val="5EA731C3"/>
    <w:rsid w:val="5EAE58CA"/>
    <w:rsid w:val="5ED82947"/>
    <w:rsid w:val="5EE57DEF"/>
    <w:rsid w:val="5EF3152F"/>
    <w:rsid w:val="5EF8758E"/>
    <w:rsid w:val="5EFA28BD"/>
    <w:rsid w:val="5F261904"/>
    <w:rsid w:val="5F28567D"/>
    <w:rsid w:val="5F2B200B"/>
    <w:rsid w:val="5F337B7D"/>
    <w:rsid w:val="5F351B48"/>
    <w:rsid w:val="5F3C41BA"/>
    <w:rsid w:val="5F476281"/>
    <w:rsid w:val="5F607A9E"/>
    <w:rsid w:val="5F661D01"/>
    <w:rsid w:val="5F8258A6"/>
    <w:rsid w:val="5F88611B"/>
    <w:rsid w:val="5F8E1258"/>
    <w:rsid w:val="5F926F9A"/>
    <w:rsid w:val="5FA10F8B"/>
    <w:rsid w:val="5FA840C8"/>
    <w:rsid w:val="5FBA3DFB"/>
    <w:rsid w:val="5FF75EB0"/>
    <w:rsid w:val="5FFE1F39"/>
    <w:rsid w:val="601856F1"/>
    <w:rsid w:val="60220720"/>
    <w:rsid w:val="602507CC"/>
    <w:rsid w:val="602776E2"/>
    <w:rsid w:val="60285208"/>
    <w:rsid w:val="602C5B2E"/>
    <w:rsid w:val="604211ED"/>
    <w:rsid w:val="606042AB"/>
    <w:rsid w:val="60634492"/>
    <w:rsid w:val="606B7319"/>
    <w:rsid w:val="60945F86"/>
    <w:rsid w:val="60980A56"/>
    <w:rsid w:val="60A70823"/>
    <w:rsid w:val="60B151FE"/>
    <w:rsid w:val="60B40EDC"/>
    <w:rsid w:val="60BD1DF5"/>
    <w:rsid w:val="60D730B1"/>
    <w:rsid w:val="60E92346"/>
    <w:rsid w:val="60F90EF8"/>
    <w:rsid w:val="60FB46CB"/>
    <w:rsid w:val="60FD6695"/>
    <w:rsid w:val="60FD7204"/>
    <w:rsid w:val="61045C75"/>
    <w:rsid w:val="610736D5"/>
    <w:rsid w:val="6110461A"/>
    <w:rsid w:val="61167757"/>
    <w:rsid w:val="61377DF9"/>
    <w:rsid w:val="6144726D"/>
    <w:rsid w:val="61483DB4"/>
    <w:rsid w:val="61630BEE"/>
    <w:rsid w:val="616E2910"/>
    <w:rsid w:val="616F5702"/>
    <w:rsid w:val="61700DE0"/>
    <w:rsid w:val="61903065"/>
    <w:rsid w:val="61925F9F"/>
    <w:rsid w:val="61A728B6"/>
    <w:rsid w:val="61A84853"/>
    <w:rsid w:val="61A93502"/>
    <w:rsid w:val="61C947C9"/>
    <w:rsid w:val="61CD1D10"/>
    <w:rsid w:val="61D513C0"/>
    <w:rsid w:val="61DC62AA"/>
    <w:rsid w:val="61E750AB"/>
    <w:rsid w:val="61EB48D3"/>
    <w:rsid w:val="62121F2E"/>
    <w:rsid w:val="621A5FFA"/>
    <w:rsid w:val="622639C9"/>
    <w:rsid w:val="6227641F"/>
    <w:rsid w:val="622A170C"/>
    <w:rsid w:val="62487E39"/>
    <w:rsid w:val="627961EF"/>
    <w:rsid w:val="627E55B4"/>
    <w:rsid w:val="628A7254"/>
    <w:rsid w:val="62C531E2"/>
    <w:rsid w:val="62E86387"/>
    <w:rsid w:val="62EE44E7"/>
    <w:rsid w:val="62F66E39"/>
    <w:rsid w:val="63093A44"/>
    <w:rsid w:val="630F445E"/>
    <w:rsid w:val="631321A0"/>
    <w:rsid w:val="631B1054"/>
    <w:rsid w:val="63310878"/>
    <w:rsid w:val="633E6B67"/>
    <w:rsid w:val="63473BF7"/>
    <w:rsid w:val="636E4ADA"/>
    <w:rsid w:val="63721D0E"/>
    <w:rsid w:val="637E4C0D"/>
    <w:rsid w:val="637F7835"/>
    <w:rsid w:val="6397240C"/>
    <w:rsid w:val="63BA6ABF"/>
    <w:rsid w:val="63D25BB7"/>
    <w:rsid w:val="63D665D6"/>
    <w:rsid w:val="63D74F7B"/>
    <w:rsid w:val="63E458EA"/>
    <w:rsid w:val="63F518A5"/>
    <w:rsid w:val="63F529BB"/>
    <w:rsid w:val="63F9305B"/>
    <w:rsid w:val="640652A1"/>
    <w:rsid w:val="641E34E3"/>
    <w:rsid w:val="64216B3E"/>
    <w:rsid w:val="64394DE6"/>
    <w:rsid w:val="64464EB1"/>
    <w:rsid w:val="645B7061"/>
    <w:rsid w:val="6466582B"/>
    <w:rsid w:val="64850E7B"/>
    <w:rsid w:val="648D0832"/>
    <w:rsid w:val="64926F45"/>
    <w:rsid w:val="64970BAF"/>
    <w:rsid w:val="64A10CEF"/>
    <w:rsid w:val="64AC465A"/>
    <w:rsid w:val="64C71494"/>
    <w:rsid w:val="64D8544F"/>
    <w:rsid w:val="64E060B2"/>
    <w:rsid w:val="64E742EF"/>
    <w:rsid w:val="64ED07CF"/>
    <w:rsid w:val="64F8789F"/>
    <w:rsid w:val="6541043C"/>
    <w:rsid w:val="657038D9"/>
    <w:rsid w:val="65721C38"/>
    <w:rsid w:val="65755CC4"/>
    <w:rsid w:val="65832150"/>
    <w:rsid w:val="65864EAB"/>
    <w:rsid w:val="6590294D"/>
    <w:rsid w:val="65953340"/>
    <w:rsid w:val="65A43583"/>
    <w:rsid w:val="65A668D5"/>
    <w:rsid w:val="65AB2243"/>
    <w:rsid w:val="65C21C5B"/>
    <w:rsid w:val="65C9510E"/>
    <w:rsid w:val="65D35C16"/>
    <w:rsid w:val="65E435E8"/>
    <w:rsid w:val="65F55B8D"/>
    <w:rsid w:val="66100C18"/>
    <w:rsid w:val="662155A0"/>
    <w:rsid w:val="66284020"/>
    <w:rsid w:val="66316E6D"/>
    <w:rsid w:val="6652521B"/>
    <w:rsid w:val="666A657B"/>
    <w:rsid w:val="667747F4"/>
    <w:rsid w:val="668E553D"/>
    <w:rsid w:val="66905C0D"/>
    <w:rsid w:val="66963F14"/>
    <w:rsid w:val="66990C0E"/>
    <w:rsid w:val="669E7FD2"/>
    <w:rsid w:val="66AE7F8C"/>
    <w:rsid w:val="66B5531C"/>
    <w:rsid w:val="66CA01F3"/>
    <w:rsid w:val="66D12C64"/>
    <w:rsid w:val="66E667CF"/>
    <w:rsid w:val="66ED3F8F"/>
    <w:rsid w:val="66F431D7"/>
    <w:rsid w:val="66F441B9"/>
    <w:rsid w:val="66F56EE5"/>
    <w:rsid w:val="66F95B50"/>
    <w:rsid w:val="670F558D"/>
    <w:rsid w:val="67446DCC"/>
    <w:rsid w:val="6751773B"/>
    <w:rsid w:val="67863DA6"/>
    <w:rsid w:val="67A24CCC"/>
    <w:rsid w:val="67A94E81"/>
    <w:rsid w:val="67AE4764"/>
    <w:rsid w:val="67B27416"/>
    <w:rsid w:val="67EC6634"/>
    <w:rsid w:val="67EE0AE5"/>
    <w:rsid w:val="680E2F36"/>
    <w:rsid w:val="68145AE9"/>
    <w:rsid w:val="682269E1"/>
    <w:rsid w:val="68234D35"/>
    <w:rsid w:val="68297D70"/>
    <w:rsid w:val="68491C46"/>
    <w:rsid w:val="685D26C1"/>
    <w:rsid w:val="68684D3C"/>
    <w:rsid w:val="6884144A"/>
    <w:rsid w:val="68A96D8A"/>
    <w:rsid w:val="68BE670A"/>
    <w:rsid w:val="68CC170F"/>
    <w:rsid w:val="68EA74FF"/>
    <w:rsid w:val="68F76880"/>
    <w:rsid w:val="68F93BE6"/>
    <w:rsid w:val="691E364C"/>
    <w:rsid w:val="6922138F"/>
    <w:rsid w:val="692253B8"/>
    <w:rsid w:val="69230770"/>
    <w:rsid w:val="693764BC"/>
    <w:rsid w:val="693A318D"/>
    <w:rsid w:val="693A5C24"/>
    <w:rsid w:val="69605A13"/>
    <w:rsid w:val="696073DC"/>
    <w:rsid w:val="696F3E7B"/>
    <w:rsid w:val="69735746"/>
    <w:rsid w:val="69787200"/>
    <w:rsid w:val="69833F84"/>
    <w:rsid w:val="69907168"/>
    <w:rsid w:val="69916736"/>
    <w:rsid w:val="69924297"/>
    <w:rsid w:val="69A86933"/>
    <w:rsid w:val="69AA20BD"/>
    <w:rsid w:val="69EB79D2"/>
    <w:rsid w:val="69ED4960"/>
    <w:rsid w:val="6A06154D"/>
    <w:rsid w:val="6A161774"/>
    <w:rsid w:val="6A276531"/>
    <w:rsid w:val="6A2E5B11"/>
    <w:rsid w:val="6A57748F"/>
    <w:rsid w:val="6A7554EE"/>
    <w:rsid w:val="6A9736B6"/>
    <w:rsid w:val="6A995680"/>
    <w:rsid w:val="6AC82DD2"/>
    <w:rsid w:val="6AE6164F"/>
    <w:rsid w:val="6AE65E85"/>
    <w:rsid w:val="6B0B19AE"/>
    <w:rsid w:val="6B214D79"/>
    <w:rsid w:val="6B33504B"/>
    <w:rsid w:val="6B407FE1"/>
    <w:rsid w:val="6B441BA9"/>
    <w:rsid w:val="6B460C38"/>
    <w:rsid w:val="6B4A24D7"/>
    <w:rsid w:val="6B4D72A6"/>
    <w:rsid w:val="6B581EF9"/>
    <w:rsid w:val="6B8861BE"/>
    <w:rsid w:val="6BB43DF4"/>
    <w:rsid w:val="6BFB1A23"/>
    <w:rsid w:val="6C111246"/>
    <w:rsid w:val="6C39522C"/>
    <w:rsid w:val="6C4B1611"/>
    <w:rsid w:val="6C4D2AB6"/>
    <w:rsid w:val="6C4F6793"/>
    <w:rsid w:val="6C74085F"/>
    <w:rsid w:val="6C77379F"/>
    <w:rsid w:val="6C9854C4"/>
    <w:rsid w:val="6CA414E3"/>
    <w:rsid w:val="6CB63DA8"/>
    <w:rsid w:val="6CCA5F05"/>
    <w:rsid w:val="6CD40BF2"/>
    <w:rsid w:val="6CE60925"/>
    <w:rsid w:val="6CE62C14"/>
    <w:rsid w:val="6CFE5C6F"/>
    <w:rsid w:val="6D2D0302"/>
    <w:rsid w:val="6D325918"/>
    <w:rsid w:val="6D364B88"/>
    <w:rsid w:val="6D3A5D5E"/>
    <w:rsid w:val="6D3E792A"/>
    <w:rsid w:val="6D4D569A"/>
    <w:rsid w:val="6D617FAC"/>
    <w:rsid w:val="6D8175AB"/>
    <w:rsid w:val="6D836174"/>
    <w:rsid w:val="6D91263F"/>
    <w:rsid w:val="6D983849"/>
    <w:rsid w:val="6DA06D26"/>
    <w:rsid w:val="6DA265FA"/>
    <w:rsid w:val="6DAA6257"/>
    <w:rsid w:val="6DB1683D"/>
    <w:rsid w:val="6DCC7B1B"/>
    <w:rsid w:val="6DD8201C"/>
    <w:rsid w:val="6DDA4D3F"/>
    <w:rsid w:val="6E1C105D"/>
    <w:rsid w:val="6E1C71E5"/>
    <w:rsid w:val="6E1E5370"/>
    <w:rsid w:val="6E2765F9"/>
    <w:rsid w:val="6E5A0DFB"/>
    <w:rsid w:val="6E600263"/>
    <w:rsid w:val="6E69248F"/>
    <w:rsid w:val="6E8757F0"/>
    <w:rsid w:val="6E881C94"/>
    <w:rsid w:val="6E8C1058"/>
    <w:rsid w:val="6E964D17"/>
    <w:rsid w:val="6E970129"/>
    <w:rsid w:val="6E9B274D"/>
    <w:rsid w:val="6EA168B2"/>
    <w:rsid w:val="6EA2087C"/>
    <w:rsid w:val="6EB92BC3"/>
    <w:rsid w:val="6EC627BC"/>
    <w:rsid w:val="6EE611E1"/>
    <w:rsid w:val="6EF03395"/>
    <w:rsid w:val="6EFB702C"/>
    <w:rsid w:val="6F044625"/>
    <w:rsid w:val="6F165A63"/>
    <w:rsid w:val="6F1E71ED"/>
    <w:rsid w:val="6F321C00"/>
    <w:rsid w:val="6F347726"/>
    <w:rsid w:val="6F6A3D07"/>
    <w:rsid w:val="6F6B5112"/>
    <w:rsid w:val="6F742218"/>
    <w:rsid w:val="6F7866AA"/>
    <w:rsid w:val="6F7915DC"/>
    <w:rsid w:val="6F83245B"/>
    <w:rsid w:val="6F96218E"/>
    <w:rsid w:val="6F963F3C"/>
    <w:rsid w:val="6FAA4B70"/>
    <w:rsid w:val="7003534A"/>
    <w:rsid w:val="700417EE"/>
    <w:rsid w:val="700A0487"/>
    <w:rsid w:val="701632CF"/>
    <w:rsid w:val="70180DF5"/>
    <w:rsid w:val="701F74F8"/>
    <w:rsid w:val="70357BF9"/>
    <w:rsid w:val="703D3449"/>
    <w:rsid w:val="703F45D4"/>
    <w:rsid w:val="704650D4"/>
    <w:rsid w:val="707330D7"/>
    <w:rsid w:val="70840239"/>
    <w:rsid w:val="70900DB0"/>
    <w:rsid w:val="70926DFA"/>
    <w:rsid w:val="70952446"/>
    <w:rsid w:val="709B5583"/>
    <w:rsid w:val="709C0602"/>
    <w:rsid w:val="70AB1C6A"/>
    <w:rsid w:val="70B07280"/>
    <w:rsid w:val="70B825D8"/>
    <w:rsid w:val="70C1539D"/>
    <w:rsid w:val="70CC1BE0"/>
    <w:rsid w:val="70CF7B9E"/>
    <w:rsid w:val="70D72A5F"/>
    <w:rsid w:val="70DE203F"/>
    <w:rsid w:val="710C2DE2"/>
    <w:rsid w:val="711C2B67"/>
    <w:rsid w:val="711F4406"/>
    <w:rsid w:val="713768E9"/>
    <w:rsid w:val="713F23B2"/>
    <w:rsid w:val="71435015"/>
    <w:rsid w:val="71502811"/>
    <w:rsid w:val="716643F7"/>
    <w:rsid w:val="717D40AB"/>
    <w:rsid w:val="718304F0"/>
    <w:rsid w:val="71AC3EEB"/>
    <w:rsid w:val="71CA3187"/>
    <w:rsid w:val="71D90A58"/>
    <w:rsid w:val="71E52BF0"/>
    <w:rsid w:val="71EC078C"/>
    <w:rsid w:val="71EF5B86"/>
    <w:rsid w:val="71F52DDC"/>
    <w:rsid w:val="71FB277D"/>
    <w:rsid w:val="72031631"/>
    <w:rsid w:val="720877DE"/>
    <w:rsid w:val="720970AA"/>
    <w:rsid w:val="72225F5B"/>
    <w:rsid w:val="722D120D"/>
    <w:rsid w:val="722E1FE8"/>
    <w:rsid w:val="722E2B52"/>
    <w:rsid w:val="72420526"/>
    <w:rsid w:val="724539F8"/>
    <w:rsid w:val="725974A3"/>
    <w:rsid w:val="72750781"/>
    <w:rsid w:val="7281157F"/>
    <w:rsid w:val="72862E9A"/>
    <w:rsid w:val="72870EA5"/>
    <w:rsid w:val="729E5688"/>
    <w:rsid w:val="72B55021"/>
    <w:rsid w:val="72BF2167"/>
    <w:rsid w:val="72C5182A"/>
    <w:rsid w:val="72D63C77"/>
    <w:rsid w:val="72DD7840"/>
    <w:rsid w:val="72EA610B"/>
    <w:rsid w:val="72F86CBC"/>
    <w:rsid w:val="73015A3B"/>
    <w:rsid w:val="730B60D3"/>
    <w:rsid w:val="730C2768"/>
    <w:rsid w:val="731062FC"/>
    <w:rsid w:val="73124222"/>
    <w:rsid w:val="731603AB"/>
    <w:rsid w:val="731A1328"/>
    <w:rsid w:val="73217FC1"/>
    <w:rsid w:val="73272407"/>
    <w:rsid w:val="737308E6"/>
    <w:rsid w:val="73920EBF"/>
    <w:rsid w:val="73974727"/>
    <w:rsid w:val="73B22403"/>
    <w:rsid w:val="73B54BAD"/>
    <w:rsid w:val="73B629DD"/>
    <w:rsid w:val="73CA7023"/>
    <w:rsid w:val="73CB3700"/>
    <w:rsid w:val="73DC213A"/>
    <w:rsid w:val="73E55492"/>
    <w:rsid w:val="73FA36B5"/>
    <w:rsid w:val="73FC0A2E"/>
    <w:rsid w:val="74094119"/>
    <w:rsid w:val="74116287"/>
    <w:rsid w:val="74125423"/>
    <w:rsid w:val="74212243"/>
    <w:rsid w:val="74404DBF"/>
    <w:rsid w:val="744235D0"/>
    <w:rsid w:val="744A0B48"/>
    <w:rsid w:val="744F0B5E"/>
    <w:rsid w:val="747567AF"/>
    <w:rsid w:val="747A4220"/>
    <w:rsid w:val="74962C31"/>
    <w:rsid w:val="7499002B"/>
    <w:rsid w:val="749D3FBF"/>
    <w:rsid w:val="74A0667B"/>
    <w:rsid w:val="74A569D0"/>
    <w:rsid w:val="74AA2238"/>
    <w:rsid w:val="74B366D1"/>
    <w:rsid w:val="74B9247B"/>
    <w:rsid w:val="74BA691F"/>
    <w:rsid w:val="74CA4688"/>
    <w:rsid w:val="74D379E1"/>
    <w:rsid w:val="74DC17C9"/>
    <w:rsid w:val="74EB3017"/>
    <w:rsid w:val="74FD780D"/>
    <w:rsid w:val="75047B9A"/>
    <w:rsid w:val="752C70F1"/>
    <w:rsid w:val="753456B8"/>
    <w:rsid w:val="75373D6A"/>
    <w:rsid w:val="7570241C"/>
    <w:rsid w:val="75740973"/>
    <w:rsid w:val="75771BE8"/>
    <w:rsid w:val="75774810"/>
    <w:rsid w:val="759058D2"/>
    <w:rsid w:val="75956A44"/>
    <w:rsid w:val="75A22EA3"/>
    <w:rsid w:val="75B23A9A"/>
    <w:rsid w:val="75B50E95"/>
    <w:rsid w:val="75B710B1"/>
    <w:rsid w:val="75C37A55"/>
    <w:rsid w:val="75D8312C"/>
    <w:rsid w:val="75DB5542"/>
    <w:rsid w:val="75E31EA6"/>
    <w:rsid w:val="75EF25F8"/>
    <w:rsid w:val="760B6D06"/>
    <w:rsid w:val="76116A13"/>
    <w:rsid w:val="76200B06"/>
    <w:rsid w:val="762027B2"/>
    <w:rsid w:val="762C2E70"/>
    <w:rsid w:val="7634625D"/>
    <w:rsid w:val="764364A0"/>
    <w:rsid w:val="764A32DB"/>
    <w:rsid w:val="764D37C3"/>
    <w:rsid w:val="764F3097"/>
    <w:rsid w:val="76564426"/>
    <w:rsid w:val="765B2AC6"/>
    <w:rsid w:val="76746FA2"/>
    <w:rsid w:val="7684424F"/>
    <w:rsid w:val="768E1E11"/>
    <w:rsid w:val="76960E7C"/>
    <w:rsid w:val="76982C90"/>
    <w:rsid w:val="76995B4F"/>
    <w:rsid w:val="769A6A08"/>
    <w:rsid w:val="769F7C70"/>
    <w:rsid w:val="76A038F3"/>
    <w:rsid w:val="76A6622C"/>
    <w:rsid w:val="76AB4903"/>
    <w:rsid w:val="76AD4C6C"/>
    <w:rsid w:val="76CF41D8"/>
    <w:rsid w:val="76D55F21"/>
    <w:rsid w:val="7708107F"/>
    <w:rsid w:val="770B649E"/>
    <w:rsid w:val="774D3A7A"/>
    <w:rsid w:val="77531B70"/>
    <w:rsid w:val="775A1CF3"/>
    <w:rsid w:val="776808B4"/>
    <w:rsid w:val="77732DB5"/>
    <w:rsid w:val="77905715"/>
    <w:rsid w:val="77935205"/>
    <w:rsid w:val="78082EE1"/>
    <w:rsid w:val="78085BF3"/>
    <w:rsid w:val="780879A1"/>
    <w:rsid w:val="78104AA8"/>
    <w:rsid w:val="782E7954"/>
    <w:rsid w:val="78391422"/>
    <w:rsid w:val="78540E39"/>
    <w:rsid w:val="785729CF"/>
    <w:rsid w:val="7863107C"/>
    <w:rsid w:val="786C6182"/>
    <w:rsid w:val="787978AF"/>
    <w:rsid w:val="787C365F"/>
    <w:rsid w:val="788646D5"/>
    <w:rsid w:val="789C0BD6"/>
    <w:rsid w:val="78A70F09"/>
    <w:rsid w:val="78AC47D1"/>
    <w:rsid w:val="78C134D4"/>
    <w:rsid w:val="78CD4747"/>
    <w:rsid w:val="78D37FAF"/>
    <w:rsid w:val="78F148D9"/>
    <w:rsid w:val="78FF3D29"/>
    <w:rsid w:val="791665C1"/>
    <w:rsid w:val="79206045"/>
    <w:rsid w:val="793842B6"/>
    <w:rsid w:val="794B1A7D"/>
    <w:rsid w:val="795E1853"/>
    <w:rsid w:val="79734E48"/>
    <w:rsid w:val="797937F9"/>
    <w:rsid w:val="798446A0"/>
    <w:rsid w:val="798B6ADC"/>
    <w:rsid w:val="799F1D2B"/>
    <w:rsid w:val="79AC0800"/>
    <w:rsid w:val="79B612BB"/>
    <w:rsid w:val="79BC13C8"/>
    <w:rsid w:val="79C21DD2"/>
    <w:rsid w:val="79C83CA2"/>
    <w:rsid w:val="79CE0777"/>
    <w:rsid w:val="79F24465"/>
    <w:rsid w:val="7A004D7D"/>
    <w:rsid w:val="7A0759A7"/>
    <w:rsid w:val="7A2E1215"/>
    <w:rsid w:val="7A474129"/>
    <w:rsid w:val="7A49604F"/>
    <w:rsid w:val="7A4E3666"/>
    <w:rsid w:val="7A50044E"/>
    <w:rsid w:val="7A835A1A"/>
    <w:rsid w:val="7A884DCA"/>
    <w:rsid w:val="7A9512A0"/>
    <w:rsid w:val="7A9814B1"/>
    <w:rsid w:val="7AA31C03"/>
    <w:rsid w:val="7AA7687B"/>
    <w:rsid w:val="7AB83901"/>
    <w:rsid w:val="7ABD0F17"/>
    <w:rsid w:val="7AC6527B"/>
    <w:rsid w:val="7AC758F2"/>
    <w:rsid w:val="7ACD413E"/>
    <w:rsid w:val="7AD61FD9"/>
    <w:rsid w:val="7ADE0F85"/>
    <w:rsid w:val="7AE26AF3"/>
    <w:rsid w:val="7B1E64C9"/>
    <w:rsid w:val="7B2745E3"/>
    <w:rsid w:val="7B2C39A7"/>
    <w:rsid w:val="7B2D6098"/>
    <w:rsid w:val="7B56194B"/>
    <w:rsid w:val="7B5D1DB2"/>
    <w:rsid w:val="7B6475E5"/>
    <w:rsid w:val="7B797E26"/>
    <w:rsid w:val="7B8233E9"/>
    <w:rsid w:val="7B9A6B62"/>
    <w:rsid w:val="7B9B28DB"/>
    <w:rsid w:val="7B9D209D"/>
    <w:rsid w:val="7BAB6FC2"/>
    <w:rsid w:val="7BBF2A6D"/>
    <w:rsid w:val="7BC40083"/>
    <w:rsid w:val="7BC77B74"/>
    <w:rsid w:val="7BD32074"/>
    <w:rsid w:val="7BEC1388"/>
    <w:rsid w:val="7C0770D5"/>
    <w:rsid w:val="7C3D05FE"/>
    <w:rsid w:val="7C3F3BAE"/>
    <w:rsid w:val="7C461D34"/>
    <w:rsid w:val="7C613B24"/>
    <w:rsid w:val="7C730DA2"/>
    <w:rsid w:val="7C84479C"/>
    <w:rsid w:val="7C8D66C7"/>
    <w:rsid w:val="7C8E25C5"/>
    <w:rsid w:val="7C9914BB"/>
    <w:rsid w:val="7CB65C1E"/>
    <w:rsid w:val="7CB95EE4"/>
    <w:rsid w:val="7CC72903"/>
    <w:rsid w:val="7CD73DE6"/>
    <w:rsid w:val="7CD74008"/>
    <w:rsid w:val="7D267B3A"/>
    <w:rsid w:val="7D342FE7"/>
    <w:rsid w:val="7D344D95"/>
    <w:rsid w:val="7D472D1A"/>
    <w:rsid w:val="7D4F1BCF"/>
    <w:rsid w:val="7D4F7E21"/>
    <w:rsid w:val="7D6F2271"/>
    <w:rsid w:val="7D7B29C4"/>
    <w:rsid w:val="7D823D52"/>
    <w:rsid w:val="7D913F95"/>
    <w:rsid w:val="7DA406CD"/>
    <w:rsid w:val="7DAC0DCF"/>
    <w:rsid w:val="7DAC350B"/>
    <w:rsid w:val="7DC0487A"/>
    <w:rsid w:val="7DCC76C3"/>
    <w:rsid w:val="7DCF4ABD"/>
    <w:rsid w:val="7DDA5DFE"/>
    <w:rsid w:val="7E032ABF"/>
    <w:rsid w:val="7E186464"/>
    <w:rsid w:val="7E1A042F"/>
    <w:rsid w:val="7E1F0A88"/>
    <w:rsid w:val="7E2D0162"/>
    <w:rsid w:val="7E691F7C"/>
    <w:rsid w:val="7E7933A7"/>
    <w:rsid w:val="7E794BF3"/>
    <w:rsid w:val="7E926217"/>
    <w:rsid w:val="7EA128FE"/>
    <w:rsid w:val="7EAE1688"/>
    <w:rsid w:val="7EB048EF"/>
    <w:rsid w:val="7EB75C7D"/>
    <w:rsid w:val="7EC363D0"/>
    <w:rsid w:val="7EC860DC"/>
    <w:rsid w:val="7ECE7D57"/>
    <w:rsid w:val="7ED22AB7"/>
    <w:rsid w:val="7ED71E7C"/>
    <w:rsid w:val="7EE12CFA"/>
    <w:rsid w:val="7EF42A2E"/>
    <w:rsid w:val="7EF70770"/>
    <w:rsid w:val="7EFB0260"/>
    <w:rsid w:val="7F0F0992"/>
    <w:rsid w:val="7F1C75A0"/>
    <w:rsid w:val="7F346E98"/>
    <w:rsid w:val="7F556CC2"/>
    <w:rsid w:val="7F736048"/>
    <w:rsid w:val="7F7B38EA"/>
    <w:rsid w:val="7F7D2A23"/>
    <w:rsid w:val="7F8813C8"/>
    <w:rsid w:val="7F8E4C0D"/>
    <w:rsid w:val="7F9D1FBE"/>
    <w:rsid w:val="7FD665D7"/>
    <w:rsid w:val="7FF60A27"/>
    <w:rsid w:val="7FF802FC"/>
    <w:rsid w:val="7FF87A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semiHidden="0" w:name="toc 5"/>
    <w:lsdException w:qFormat="1" w:unhideWhenUsed="0" w:uiPriority="0" w:name="toc 6"/>
    <w:lsdException w:qFormat="1" w:unhideWhenUsed="0" w:uiPriority="0" w:semiHidden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unhideWhenUsed="0" w:uiPriority="0" w:semiHidden="0" w:name="annotation reference"/>
    <w:lsdException w:qFormat="1" w:unhideWhenUsed="0" w:uiPriority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ind w:left="432" w:hanging="432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ind w:left="575" w:hanging="575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ind w:left="720" w:hanging="720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ind w:left="864" w:hanging="864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ind w:left="1151" w:hanging="1151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ind w:left="1296" w:hanging="1296"/>
      <w:outlineLvl w:val="6"/>
    </w:pPr>
    <w:rPr>
      <w:b/>
      <w:bCs/>
      <w:sz w:val="24"/>
    </w:rPr>
  </w:style>
  <w:style w:type="paragraph" w:styleId="10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ind w:left="1583" w:hanging="1583"/>
      <w:outlineLvl w:val="8"/>
    </w:pPr>
    <w:rPr>
      <w:rFonts w:ascii="Arial" w:hAnsi="Arial" w:eastAsia="黑体"/>
      <w:szCs w:val="21"/>
    </w:rPr>
  </w:style>
  <w:style w:type="character" w:default="1" w:styleId="116">
    <w:name w:val="Default Paragraph Font"/>
    <w:semiHidden/>
    <w:qFormat/>
    <w:uiPriority w:val="0"/>
  </w:style>
  <w:style w:type="table" w:default="1" w:styleId="7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4－正文LX"/>
    <w:next w:val="1"/>
    <w:qFormat/>
    <w:uiPriority w:val="0"/>
    <w:pPr>
      <w:spacing w:line="300" w:lineRule="auto"/>
      <w:ind w:firstLine="200" w:firstLineChars="200"/>
    </w:pPr>
    <w:rPr>
      <w:rFonts w:ascii="Times New Roman" w:hAnsi="Times New Roman" w:eastAsia="宋体" w:cs="Times New Roman"/>
      <w:kern w:val="2"/>
      <w:sz w:val="24"/>
      <w:szCs w:val="24"/>
      <w:lang w:val="sv-SE" w:eastAsia="zh-CN" w:bidi="ar-SA"/>
    </w:rPr>
  </w:style>
  <w:style w:type="paragraph" w:styleId="12">
    <w:name w:val="List 3"/>
    <w:basedOn w:val="1"/>
    <w:semiHidden/>
    <w:qFormat/>
    <w:uiPriority w:val="0"/>
    <w:pPr>
      <w:ind w:left="100" w:leftChars="400" w:hanging="200" w:hangingChars="200"/>
      <w:jc w:val="left"/>
    </w:pPr>
    <w:rPr>
      <w:szCs w:val="21"/>
    </w:rPr>
  </w:style>
  <w:style w:type="paragraph" w:styleId="13">
    <w:name w:val="toc 7"/>
    <w:basedOn w:val="14"/>
    <w:next w:val="1"/>
    <w:qFormat/>
    <w:uiPriority w:val="0"/>
  </w:style>
  <w:style w:type="paragraph" w:styleId="14">
    <w:name w:val="toc 6"/>
    <w:basedOn w:val="15"/>
    <w:next w:val="1"/>
    <w:semiHidden/>
    <w:qFormat/>
    <w:uiPriority w:val="0"/>
  </w:style>
  <w:style w:type="paragraph" w:styleId="15">
    <w:name w:val="toc 5"/>
    <w:basedOn w:val="16"/>
    <w:next w:val="1"/>
    <w:qFormat/>
    <w:uiPriority w:val="0"/>
  </w:style>
  <w:style w:type="paragraph" w:styleId="16">
    <w:name w:val="toc 4"/>
    <w:basedOn w:val="17"/>
    <w:next w:val="1"/>
    <w:semiHidden/>
    <w:qFormat/>
    <w:uiPriority w:val="0"/>
  </w:style>
  <w:style w:type="paragraph" w:styleId="17">
    <w:name w:val="toc 3"/>
    <w:basedOn w:val="18"/>
    <w:next w:val="1"/>
    <w:qFormat/>
    <w:uiPriority w:val="0"/>
  </w:style>
  <w:style w:type="paragraph" w:styleId="18">
    <w:name w:val="toc 2"/>
    <w:basedOn w:val="19"/>
    <w:next w:val="1"/>
    <w:semiHidden/>
    <w:qFormat/>
    <w:uiPriority w:val="0"/>
  </w:style>
  <w:style w:type="paragraph" w:styleId="19">
    <w:name w:val="toc 1"/>
    <w:next w:val="1"/>
    <w:semiHidden/>
    <w:qFormat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0">
    <w:name w:val="List Number 2"/>
    <w:basedOn w:val="1"/>
    <w:qFormat/>
    <w:uiPriority w:val="0"/>
    <w:pPr>
      <w:numPr>
        <w:ilvl w:val="0"/>
        <w:numId w:val="2"/>
      </w:numPr>
      <w:jc w:val="left"/>
    </w:pPr>
    <w:rPr>
      <w:szCs w:val="21"/>
    </w:rPr>
  </w:style>
  <w:style w:type="paragraph" w:styleId="21">
    <w:name w:val="Note Heading"/>
    <w:basedOn w:val="1"/>
    <w:next w:val="1"/>
    <w:semiHidden/>
    <w:qFormat/>
    <w:uiPriority w:val="0"/>
    <w:pPr>
      <w:ind w:left="1260" w:leftChars="360" w:hanging="504" w:hangingChars="240"/>
      <w:jc w:val="center"/>
    </w:pPr>
    <w:rPr>
      <w:szCs w:val="21"/>
    </w:rPr>
  </w:style>
  <w:style w:type="paragraph" w:styleId="22">
    <w:name w:val="List Bullet 4"/>
    <w:basedOn w:val="1"/>
    <w:semiHidden/>
    <w:qFormat/>
    <w:uiPriority w:val="0"/>
    <w:pPr>
      <w:numPr>
        <w:ilvl w:val="0"/>
        <w:numId w:val="3"/>
      </w:numPr>
      <w:jc w:val="left"/>
    </w:pPr>
    <w:rPr>
      <w:szCs w:val="21"/>
    </w:rPr>
  </w:style>
  <w:style w:type="paragraph" w:styleId="23">
    <w:name w:val="E-mail Signature"/>
    <w:basedOn w:val="1"/>
    <w:semiHidden/>
    <w:qFormat/>
    <w:uiPriority w:val="0"/>
    <w:pPr>
      <w:ind w:left="1260" w:leftChars="360" w:hanging="504" w:hangingChars="240"/>
      <w:jc w:val="left"/>
    </w:pPr>
    <w:rPr>
      <w:szCs w:val="21"/>
    </w:rPr>
  </w:style>
  <w:style w:type="paragraph" w:styleId="24">
    <w:name w:val="List Number"/>
    <w:basedOn w:val="1"/>
    <w:semiHidden/>
    <w:qFormat/>
    <w:uiPriority w:val="0"/>
    <w:pPr>
      <w:numPr>
        <w:ilvl w:val="0"/>
        <w:numId w:val="4"/>
      </w:numPr>
      <w:ind w:leftChars="360"/>
      <w:jc w:val="left"/>
    </w:pPr>
    <w:rPr>
      <w:szCs w:val="21"/>
    </w:rPr>
  </w:style>
  <w:style w:type="paragraph" w:styleId="25">
    <w:name w:val="Normal Indent"/>
    <w:basedOn w:val="1"/>
    <w:semiHidden/>
    <w:qFormat/>
    <w:uiPriority w:val="0"/>
    <w:pPr>
      <w:ind w:left="1260" w:leftChars="360" w:firstLine="420" w:firstLineChars="200"/>
      <w:jc w:val="left"/>
    </w:pPr>
    <w:rPr>
      <w:szCs w:val="21"/>
    </w:rPr>
  </w:style>
  <w:style w:type="paragraph" w:styleId="26">
    <w:name w:val="List Bullet"/>
    <w:basedOn w:val="1"/>
    <w:semiHidden/>
    <w:qFormat/>
    <w:uiPriority w:val="0"/>
    <w:pPr>
      <w:numPr>
        <w:ilvl w:val="0"/>
        <w:numId w:val="5"/>
      </w:numPr>
      <w:ind w:leftChars="360"/>
      <w:jc w:val="left"/>
    </w:pPr>
    <w:rPr>
      <w:szCs w:val="21"/>
    </w:rPr>
  </w:style>
  <w:style w:type="paragraph" w:styleId="27">
    <w:name w:val="envelope address"/>
    <w:basedOn w:val="1"/>
    <w:semiHidden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 w:hanging="504" w:hangingChars="240"/>
      <w:jc w:val="left"/>
    </w:pPr>
    <w:rPr>
      <w:rFonts w:ascii="Arial" w:hAnsi="Arial" w:cs="Arial"/>
      <w:sz w:val="24"/>
      <w:szCs w:val="21"/>
    </w:rPr>
  </w:style>
  <w:style w:type="paragraph" w:styleId="28">
    <w:name w:val="annotation text"/>
    <w:basedOn w:val="1"/>
    <w:qFormat/>
    <w:uiPriority w:val="0"/>
    <w:pPr>
      <w:jc w:val="left"/>
    </w:pPr>
    <w:rPr>
      <w:rFonts w:ascii="Calibri" w:hAnsi="Calibri"/>
    </w:rPr>
  </w:style>
  <w:style w:type="paragraph" w:styleId="29">
    <w:name w:val="Salutation"/>
    <w:basedOn w:val="1"/>
    <w:next w:val="1"/>
    <w:semiHidden/>
    <w:qFormat/>
    <w:uiPriority w:val="0"/>
    <w:pPr>
      <w:ind w:left="1260" w:leftChars="360" w:hanging="504" w:hangingChars="240"/>
      <w:jc w:val="left"/>
    </w:pPr>
    <w:rPr>
      <w:szCs w:val="21"/>
    </w:rPr>
  </w:style>
  <w:style w:type="paragraph" w:styleId="30">
    <w:name w:val="Body Text 3"/>
    <w:basedOn w:val="1"/>
    <w:qFormat/>
    <w:uiPriority w:val="0"/>
    <w:pPr>
      <w:numPr>
        <w:ilvl w:val="1"/>
        <w:numId w:val="6"/>
      </w:numPr>
      <w:tabs>
        <w:tab w:val="left" w:pos="480"/>
      </w:tabs>
      <w:spacing w:before="156" w:beforeLines="50" w:after="156" w:afterLines="50" w:line="500" w:lineRule="exact"/>
      <w:ind w:leftChars="360" w:hangingChars="240"/>
      <w:jc w:val="center"/>
    </w:pPr>
    <w:rPr>
      <w:rFonts w:eastAsia="黑体"/>
      <w:sz w:val="24"/>
      <w:szCs w:val="16"/>
    </w:rPr>
  </w:style>
  <w:style w:type="paragraph" w:styleId="31">
    <w:name w:val="Closing"/>
    <w:basedOn w:val="1"/>
    <w:semiHidden/>
    <w:qFormat/>
    <w:uiPriority w:val="0"/>
    <w:pPr>
      <w:ind w:left="100" w:leftChars="2100" w:hanging="504" w:hangingChars="240"/>
      <w:jc w:val="left"/>
    </w:pPr>
    <w:rPr>
      <w:szCs w:val="21"/>
    </w:rPr>
  </w:style>
  <w:style w:type="paragraph" w:styleId="32">
    <w:name w:val="List Bullet 3"/>
    <w:basedOn w:val="1"/>
    <w:semiHidden/>
    <w:qFormat/>
    <w:uiPriority w:val="0"/>
    <w:pPr>
      <w:numPr>
        <w:ilvl w:val="0"/>
        <w:numId w:val="7"/>
      </w:numPr>
      <w:jc w:val="left"/>
    </w:pPr>
    <w:rPr>
      <w:szCs w:val="21"/>
    </w:rPr>
  </w:style>
  <w:style w:type="paragraph" w:styleId="33">
    <w:name w:val="Body Text"/>
    <w:basedOn w:val="1"/>
    <w:semiHidden/>
    <w:qFormat/>
    <w:uiPriority w:val="0"/>
    <w:pPr>
      <w:spacing w:after="120"/>
      <w:ind w:left="1260" w:leftChars="360" w:hanging="504" w:hangingChars="240"/>
      <w:jc w:val="left"/>
    </w:pPr>
    <w:rPr>
      <w:szCs w:val="21"/>
    </w:rPr>
  </w:style>
  <w:style w:type="paragraph" w:styleId="34">
    <w:name w:val="Body Text Indent"/>
    <w:basedOn w:val="1"/>
    <w:link w:val="132"/>
    <w:qFormat/>
    <w:uiPriority w:val="0"/>
    <w:pPr>
      <w:ind w:left="735" w:leftChars="350"/>
    </w:pPr>
    <w:rPr>
      <w:color w:val="FF0000"/>
    </w:rPr>
  </w:style>
  <w:style w:type="paragraph" w:styleId="35">
    <w:name w:val="List Number 3"/>
    <w:basedOn w:val="1"/>
    <w:qFormat/>
    <w:uiPriority w:val="0"/>
    <w:pPr>
      <w:numPr>
        <w:ilvl w:val="0"/>
        <w:numId w:val="8"/>
      </w:numPr>
      <w:jc w:val="left"/>
    </w:pPr>
    <w:rPr>
      <w:szCs w:val="21"/>
    </w:rPr>
  </w:style>
  <w:style w:type="paragraph" w:styleId="36">
    <w:name w:val="List 2"/>
    <w:basedOn w:val="1"/>
    <w:semiHidden/>
    <w:qFormat/>
    <w:uiPriority w:val="0"/>
    <w:pPr>
      <w:ind w:left="100" w:leftChars="200" w:hanging="200" w:hangingChars="200"/>
      <w:jc w:val="left"/>
    </w:pPr>
    <w:rPr>
      <w:szCs w:val="21"/>
    </w:rPr>
  </w:style>
  <w:style w:type="paragraph" w:styleId="37">
    <w:name w:val="List Continue"/>
    <w:basedOn w:val="1"/>
    <w:semiHidden/>
    <w:qFormat/>
    <w:uiPriority w:val="0"/>
    <w:pPr>
      <w:spacing w:after="120"/>
      <w:ind w:left="420" w:leftChars="200" w:hanging="504" w:hangingChars="240"/>
      <w:jc w:val="left"/>
    </w:pPr>
    <w:rPr>
      <w:szCs w:val="21"/>
    </w:rPr>
  </w:style>
  <w:style w:type="paragraph" w:styleId="38">
    <w:name w:val="Block Text"/>
    <w:basedOn w:val="1"/>
    <w:semiHidden/>
    <w:qFormat/>
    <w:uiPriority w:val="0"/>
    <w:pPr>
      <w:spacing w:after="120"/>
      <w:ind w:left="1440" w:leftChars="700" w:right="1440" w:rightChars="700" w:hanging="504" w:hangingChars="240"/>
      <w:jc w:val="left"/>
    </w:pPr>
    <w:rPr>
      <w:szCs w:val="21"/>
    </w:rPr>
  </w:style>
  <w:style w:type="paragraph" w:styleId="39">
    <w:name w:val="List Bullet 2"/>
    <w:basedOn w:val="1"/>
    <w:semiHidden/>
    <w:qFormat/>
    <w:uiPriority w:val="0"/>
    <w:pPr>
      <w:numPr>
        <w:ilvl w:val="0"/>
        <w:numId w:val="9"/>
      </w:numPr>
      <w:jc w:val="left"/>
    </w:pPr>
    <w:rPr>
      <w:szCs w:val="21"/>
    </w:rPr>
  </w:style>
  <w:style w:type="paragraph" w:styleId="40">
    <w:name w:val="HTML Address"/>
    <w:basedOn w:val="1"/>
    <w:qFormat/>
    <w:uiPriority w:val="0"/>
    <w:rPr>
      <w:i/>
      <w:iCs/>
    </w:rPr>
  </w:style>
  <w:style w:type="paragraph" w:styleId="41">
    <w:name w:val="Plain Text"/>
    <w:basedOn w:val="1"/>
    <w:semiHidden/>
    <w:qFormat/>
    <w:uiPriority w:val="0"/>
    <w:pPr>
      <w:ind w:left="1260" w:leftChars="360" w:hanging="504" w:hangingChars="240"/>
      <w:jc w:val="left"/>
    </w:pPr>
    <w:rPr>
      <w:rFonts w:ascii="宋体" w:hAnsi="Courier New" w:cs="Courier New"/>
      <w:szCs w:val="21"/>
    </w:rPr>
  </w:style>
  <w:style w:type="paragraph" w:styleId="42">
    <w:name w:val="List Bullet 5"/>
    <w:basedOn w:val="1"/>
    <w:semiHidden/>
    <w:qFormat/>
    <w:uiPriority w:val="0"/>
    <w:pPr>
      <w:numPr>
        <w:ilvl w:val="0"/>
        <w:numId w:val="10"/>
      </w:numPr>
      <w:jc w:val="left"/>
    </w:pPr>
    <w:rPr>
      <w:szCs w:val="21"/>
    </w:rPr>
  </w:style>
  <w:style w:type="paragraph" w:styleId="43">
    <w:name w:val="List Number 4"/>
    <w:basedOn w:val="1"/>
    <w:semiHidden/>
    <w:qFormat/>
    <w:uiPriority w:val="0"/>
    <w:pPr>
      <w:numPr>
        <w:ilvl w:val="0"/>
        <w:numId w:val="11"/>
      </w:numPr>
      <w:jc w:val="left"/>
    </w:pPr>
    <w:rPr>
      <w:szCs w:val="21"/>
    </w:rPr>
  </w:style>
  <w:style w:type="paragraph" w:styleId="44">
    <w:name w:val="toc 8"/>
    <w:basedOn w:val="13"/>
    <w:next w:val="1"/>
    <w:semiHidden/>
    <w:qFormat/>
    <w:uiPriority w:val="0"/>
  </w:style>
  <w:style w:type="paragraph" w:styleId="45">
    <w:name w:val="Date"/>
    <w:basedOn w:val="1"/>
    <w:next w:val="1"/>
    <w:semiHidden/>
    <w:qFormat/>
    <w:uiPriority w:val="0"/>
    <w:pPr>
      <w:ind w:left="100" w:leftChars="2500" w:hanging="504" w:hangingChars="240"/>
      <w:jc w:val="left"/>
    </w:pPr>
    <w:rPr>
      <w:szCs w:val="21"/>
    </w:rPr>
  </w:style>
  <w:style w:type="paragraph" w:styleId="46">
    <w:name w:val="Body Text Indent 2"/>
    <w:basedOn w:val="1"/>
    <w:qFormat/>
    <w:uiPriority w:val="0"/>
    <w:pPr>
      <w:ind w:left="735" w:leftChars="350"/>
    </w:pPr>
  </w:style>
  <w:style w:type="paragraph" w:styleId="47">
    <w:name w:val="List Continue 5"/>
    <w:basedOn w:val="1"/>
    <w:semiHidden/>
    <w:qFormat/>
    <w:uiPriority w:val="0"/>
    <w:pPr>
      <w:spacing w:after="120"/>
      <w:ind w:left="2100" w:leftChars="1000" w:hanging="504" w:hangingChars="240"/>
      <w:jc w:val="left"/>
    </w:pPr>
    <w:rPr>
      <w:szCs w:val="21"/>
    </w:rPr>
  </w:style>
  <w:style w:type="paragraph" w:styleId="48">
    <w:name w:val="Balloon Text"/>
    <w:basedOn w:val="1"/>
    <w:semiHidden/>
    <w:qFormat/>
    <w:uiPriority w:val="0"/>
    <w:rPr>
      <w:sz w:val="18"/>
      <w:szCs w:val="18"/>
    </w:rPr>
  </w:style>
  <w:style w:type="paragraph" w:styleId="4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ind w:right="210" w:rightChars="100"/>
      <w:jc w:val="right"/>
    </w:pPr>
    <w:rPr>
      <w:sz w:val="18"/>
      <w:szCs w:val="18"/>
    </w:rPr>
  </w:style>
  <w:style w:type="paragraph" w:styleId="50">
    <w:name w:val="envelope return"/>
    <w:basedOn w:val="1"/>
    <w:semiHidden/>
    <w:qFormat/>
    <w:uiPriority w:val="0"/>
    <w:pPr>
      <w:snapToGrid w:val="0"/>
      <w:ind w:left="1260" w:leftChars="360" w:hanging="504" w:hangingChars="240"/>
      <w:jc w:val="left"/>
    </w:pPr>
    <w:rPr>
      <w:rFonts w:ascii="Arial" w:hAnsi="Arial" w:cs="Arial"/>
      <w:szCs w:val="21"/>
    </w:rPr>
  </w:style>
  <w:style w:type="paragraph" w:styleId="5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2">
    <w:name w:val="Signature"/>
    <w:basedOn w:val="1"/>
    <w:semiHidden/>
    <w:qFormat/>
    <w:uiPriority w:val="0"/>
    <w:pPr>
      <w:ind w:left="100" w:leftChars="2100" w:hanging="504" w:hangingChars="240"/>
      <w:jc w:val="left"/>
    </w:pPr>
    <w:rPr>
      <w:szCs w:val="21"/>
    </w:rPr>
  </w:style>
  <w:style w:type="paragraph" w:styleId="53">
    <w:name w:val="List Continue 4"/>
    <w:basedOn w:val="1"/>
    <w:semiHidden/>
    <w:qFormat/>
    <w:uiPriority w:val="0"/>
    <w:pPr>
      <w:spacing w:after="120"/>
      <w:ind w:left="1680" w:leftChars="800" w:hanging="504" w:hangingChars="240"/>
      <w:jc w:val="left"/>
    </w:pPr>
    <w:rPr>
      <w:szCs w:val="21"/>
    </w:rPr>
  </w:style>
  <w:style w:type="paragraph" w:styleId="54">
    <w:name w:val="Subtitle"/>
    <w:basedOn w:val="1"/>
    <w:qFormat/>
    <w:uiPriority w:val="0"/>
    <w:pPr>
      <w:spacing w:before="240" w:after="60" w:line="312" w:lineRule="auto"/>
      <w:ind w:left="1260" w:leftChars="360" w:hanging="504" w:hangingChars="240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5">
    <w:name w:val="List Number 5"/>
    <w:basedOn w:val="1"/>
    <w:semiHidden/>
    <w:qFormat/>
    <w:uiPriority w:val="0"/>
    <w:pPr>
      <w:numPr>
        <w:ilvl w:val="0"/>
        <w:numId w:val="12"/>
      </w:numPr>
      <w:jc w:val="left"/>
    </w:pPr>
    <w:rPr>
      <w:szCs w:val="21"/>
    </w:rPr>
  </w:style>
  <w:style w:type="paragraph" w:styleId="56">
    <w:name w:val="List"/>
    <w:basedOn w:val="1"/>
    <w:semiHidden/>
    <w:qFormat/>
    <w:uiPriority w:val="0"/>
    <w:pPr>
      <w:ind w:left="200" w:leftChars="360" w:hanging="200" w:hangingChars="200"/>
      <w:jc w:val="left"/>
    </w:pPr>
    <w:rPr>
      <w:szCs w:val="21"/>
    </w:rPr>
  </w:style>
  <w:style w:type="paragraph" w:styleId="57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58">
    <w:name w:val="List 5"/>
    <w:basedOn w:val="1"/>
    <w:semiHidden/>
    <w:qFormat/>
    <w:uiPriority w:val="0"/>
    <w:pPr>
      <w:ind w:left="100" w:leftChars="800" w:hanging="200" w:hangingChars="200"/>
      <w:jc w:val="left"/>
    </w:pPr>
    <w:rPr>
      <w:szCs w:val="21"/>
    </w:rPr>
  </w:style>
  <w:style w:type="paragraph" w:styleId="59">
    <w:name w:val="Body Text Indent 3"/>
    <w:basedOn w:val="1"/>
    <w:semiHidden/>
    <w:qFormat/>
    <w:uiPriority w:val="0"/>
    <w:pPr>
      <w:spacing w:after="120"/>
      <w:ind w:left="420" w:leftChars="200" w:hanging="504" w:hangingChars="240"/>
      <w:jc w:val="left"/>
    </w:pPr>
    <w:rPr>
      <w:sz w:val="16"/>
      <w:szCs w:val="16"/>
    </w:rPr>
  </w:style>
  <w:style w:type="paragraph" w:styleId="60">
    <w:name w:val="toc 9"/>
    <w:basedOn w:val="44"/>
    <w:next w:val="1"/>
    <w:semiHidden/>
    <w:qFormat/>
    <w:uiPriority w:val="0"/>
  </w:style>
  <w:style w:type="paragraph" w:styleId="61">
    <w:name w:val="Body Text 2"/>
    <w:basedOn w:val="1"/>
    <w:qFormat/>
    <w:uiPriority w:val="0"/>
    <w:pPr>
      <w:numPr>
        <w:ilvl w:val="2"/>
        <w:numId w:val="13"/>
      </w:numPr>
      <w:tabs>
        <w:tab w:val="left" w:pos="480"/>
      </w:tabs>
      <w:spacing w:line="500" w:lineRule="exact"/>
      <w:ind w:leftChars="360"/>
      <w:jc w:val="left"/>
    </w:pPr>
    <w:rPr>
      <w:szCs w:val="21"/>
    </w:rPr>
  </w:style>
  <w:style w:type="paragraph" w:styleId="62">
    <w:name w:val="List 4"/>
    <w:basedOn w:val="1"/>
    <w:semiHidden/>
    <w:qFormat/>
    <w:uiPriority w:val="0"/>
    <w:pPr>
      <w:ind w:left="100" w:leftChars="600" w:hanging="200" w:hangingChars="200"/>
      <w:jc w:val="left"/>
    </w:pPr>
    <w:rPr>
      <w:szCs w:val="21"/>
    </w:rPr>
  </w:style>
  <w:style w:type="paragraph" w:styleId="63">
    <w:name w:val="List Continue 2"/>
    <w:basedOn w:val="1"/>
    <w:semiHidden/>
    <w:qFormat/>
    <w:uiPriority w:val="0"/>
    <w:pPr>
      <w:spacing w:after="120"/>
      <w:ind w:left="840" w:leftChars="400" w:hanging="504" w:hangingChars="240"/>
      <w:jc w:val="left"/>
    </w:pPr>
    <w:rPr>
      <w:szCs w:val="21"/>
    </w:rPr>
  </w:style>
  <w:style w:type="paragraph" w:styleId="64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  <w:jc w:val="left"/>
    </w:pPr>
    <w:rPr>
      <w:rFonts w:ascii="Arial" w:hAnsi="Arial" w:cs="Arial"/>
      <w:sz w:val="24"/>
      <w:szCs w:val="21"/>
    </w:rPr>
  </w:style>
  <w:style w:type="paragraph" w:styleId="65">
    <w:name w:val="HTML Preformatted"/>
    <w:basedOn w:val="1"/>
    <w:qFormat/>
    <w:uiPriority w:val="0"/>
    <w:rPr>
      <w:rFonts w:ascii="Courier New" w:hAnsi="Courier New" w:cs="Courier New"/>
      <w:sz w:val="20"/>
      <w:szCs w:val="20"/>
    </w:rPr>
  </w:style>
  <w:style w:type="paragraph" w:styleId="66">
    <w:name w:val="Normal (Web)"/>
    <w:basedOn w:val="1"/>
    <w:semiHidden/>
    <w:qFormat/>
    <w:uiPriority w:val="0"/>
    <w:pPr>
      <w:ind w:left="1260" w:leftChars="360" w:hanging="504" w:hangingChars="240"/>
      <w:jc w:val="left"/>
    </w:pPr>
    <w:rPr>
      <w:sz w:val="24"/>
      <w:szCs w:val="21"/>
    </w:rPr>
  </w:style>
  <w:style w:type="paragraph" w:styleId="67">
    <w:name w:val="List Continue 3"/>
    <w:basedOn w:val="1"/>
    <w:semiHidden/>
    <w:qFormat/>
    <w:uiPriority w:val="0"/>
    <w:pPr>
      <w:spacing w:after="120"/>
      <w:ind w:left="1260" w:leftChars="600" w:hanging="504" w:hangingChars="240"/>
      <w:jc w:val="left"/>
    </w:pPr>
    <w:rPr>
      <w:szCs w:val="21"/>
    </w:rPr>
  </w:style>
  <w:style w:type="paragraph" w:styleId="68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9">
    <w:name w:val="Body Text First Indent"/>
    <w:basedOn w:val="33"/>
    <w:qFormat/>
    <w:uiPriority w:val="0"/>
    <w:pPr>
      <w:ind w:firstLine="420" w:firstLineChars="100"/>
    </w:pPr>
  </w:style>
  <w:style w:type="paragraph" w:styleId="70">
    <w:name w:val="Body Text First Indent 2"/>
    <w:basedOn w:val="34"/>
    <w:link w:val="133"/>
    <w:qFormat/>
    <w:uiPriority w:val="0"/>
    <w:pPr>
      <w:spacing w:after="120"/>
      <w:ind w:left="420" w:leftChars="200" w:firstLine="420" w:firstLineChars="200"/>
      <w:jc w:val="left"/>
    </w:pPr>
  </w:style>
  <w:style w:type="table" w:styleId="72">
    <w:name w:val="Table Grid"/>
    <w:basedOn w:val="71"/>
    <w:semiHidden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Theme"/>
    <w:basedOn w:val="71"/>
    <w:semiHidden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4">
    <w:name w:val="Table Colorful 1"/>
    <w:basedOn w:val="71"/>
    <w:semiHidden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5">
    <w:name w:val="Table Colorful 2"/>
    <w:basedOn w:val="71"/>
    <w:semiHidden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6">
    <w:name w:val="Table Colorful 3"/>
    <w:basedOn w:val="71"/>
    <w:semiHidden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77">
    <w:name w:val="Table Elegant"/>
    <w:basedOn w:val="71"/>
    <w:semiHidden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8">
    <w:name w:val="Table Classic 1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9">
    <w:name w:val="Table Classic 2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lassic 3"/>
    <w:basedOn w:val="71"/>
    <w:semiHidden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lassic 4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2">
    <w:name w:val="Table Simple 1"/>
    <w:basedOn w:val="71"/>
    <w:semiHidden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Simple 2"/>
    <w:basedOn w:val="71"/>
    <w:semiHidden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Simple 3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5">
    <w:name w:val="Table Subtle 1"/>
    <w:basedOn w:val="71"/>
    <w:semiHidden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Subtle 2"/>
    <w:basedOn w:val="71"/>
    <w:semiHidden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3D effects 1"/>
    <w:basedOn w:val="71"/>
    <w:semiHidden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3D effects 2"/>
    <w:basedOn w:val="71"/>
    <w:semiHidden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3D effects 3"/>
    <w:basedOn w:val="71"/>
    <w:semiHidden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0">
    <w:name w:val="Table List 1"/>
    <w:basedOn w:val="71"/>
    <w:semiHidden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List 2"/>
    <w:basedOn w:val="71"/>
    <w:semiHidden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List 3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List 4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4">
    <w:name w:val="Table List 5"/>
    <w:basedOn w:val="71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6"/>
    <w:basedOn w:val="71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96">
    <w:name w:val="Table List 7"/>
    <w:basedOn w:val="71"/>
    <w:semiHidden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97">
    <w:name w:val="Table List 8"/>
    <w:basedOn w:val="71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98">
    <w:name w:val="Table Contemporary"/>
    <w:basedOn w:val="71"/>
    <w:semiHidden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99">
    <w:name w:val="Table Columns 1"/>
    <w:basedOn w:val="71"/>
    <w:semiHidden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Columns 2"/>
    <w:basedOn w:val="71"/>
    <w:semiHidden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1">
    <w:name w:val="Table Columns 3"/>
    <w:basedOn w:val="71"/>
    <w:semiHidden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2">
    <w:name w:val="Table Columns 4"/>
    <w:basedOn w:val="71"/>
    <w:semiHidden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3">
    <w:name w:val="Table Columns 5"/>
    <w:basedOn w:val="71"/>
    <w:semiHidden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4">
    <w:name w:val="Table Grid 1"/>
    <w:basedOn w:val="71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5">
    <w:name w:val="Table Grid 2"/>
    <w:basedOn w:val="71"/>
    <w:semiHidden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Grid 3"/>
    <w:basedOn w:val="71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7">
    <w:name w:val="Table Grid 4"/>
    <w:basedOn w:val="71"/>
    <w:semiHidden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5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9">
    <w:name w:val="Table Grid 6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7"/>
    <w:basedOn w:val="71"/>
    <w:semiHidden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1">
    <w:name w:val="Table Grid 8"/>
    <w:basedOn w:val="71"/>
    <w:semiHidden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Web 1"/>
    <w:basedOn w:val="71"/>
    <w:semiHidden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Web 2"/>
    <w:basedOn w:val="71"/>
    <w:semiHidden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Web 3"/>
    <w:basedOn w:val="71"/>
    <w:semiHidden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Professional"/>
    <w:basedOn w:val="71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17">
    <w:name w:val="Strong"/>
    <w:basedOn w:val="116"/>
    <w:qFormat/>
    <w:uiPriority w:val="0"/>
    <w:rPr>
      <w:b/>
      <w:bCs/>
    </w:rPr>
  </w:style>
  <w:style w:type="character" w:styleId="118">
    <w:name w:val="page number"/>
    <w:basedOn w:val="116"/>
    <w:qFormat/>
    <w:uiPriority w:val="0"/>
    <w:rPr>
      <w:rFonts w:ascii="Times New Roman" w:hAnsi="Times New Roman" w:eastAsia="宋体"/>
      <w:sz w:val="18"/>
    </w:rPr>
  </w:style>
  <w:style w:type="character" w:styleId="119">
    <w:name w:val="FollowedHyperlink"/>
    <w:basedOn w:val="116"/>
    <w:qFormat/>
    <w:uiPriority w:val="0"/>
    <w:rPr>
      <w:color w:val="800080"/>
      <w:u w:val="single"/>
    </w:rPr>
  </w:style>
  <w:style w:type="character" w:styleId="120">
    <w:name w:val="Emphasis"/>
    <w:basedOn w:val="116"/>
    <w:qFormat/>
    <w:uiPriority w:val="0"/>
    <w:rPr>
      <w:i/>
      <w:iCs/>
    </w:rPr>
  </w:style>
  <w:style w:type="character" w:styleId="121">
    <w:name w:val="line number"/>
    <w:basedOn w:val="116"/>
    <w:semiHidden/>
    <w:qFormat/>
    <w:uiPriority w:val="0"/>
  </w:style>
  <w:style w:type="character" w:styleId="122">
    <w:name w:val="HTML Definition"/>
    <w:basedOn w:val="116"/>
    <w:qFormat/>
    <w:uiPriority w:val="0"/>
    <w:rPr>
      <w:i/>
      <w:iCs/>
    </w:rPr>
  </w:style>
  <w:style w:type="character" w:styleId="123">
    <w:name w:val="HTML Typewriter"/>
    <w:basedOn w:val="116"/>
    <w:qFormat/>
    <w:uiPriority w:val="0"/>
    <w:rPr>
      <w:rFonts w:ascii="Courier New" w:hAnsi="Courier New"/>
      <w:sz w:val="20"/>
      <w:szCs w:val="20"/>
    </w:rPr>
  </w:style>
  <w:style w:type="character" w:styleId="124">
    <w:name w:val="HTML Acronym"/>
    <w:basedOn w:val="116"/>
    <w:qFormat/>
    <w:uiPriority w:val="0"/>
  </w:style>
  <w:style w:type="character" w:styleId="125">
    <w:name w:val="HTML Variable"/>
    <w:basedOn w:val="116"/>
    <w:qFormat/>
    <w:uiPriority w:val="0"/>
    <w:rPr>
      <w:i/>
      <w:iCs/>
    </w:rPr>
  </w:style>
  <w:style w:type="character" w:styleId="126">
    <w:name w:val="Hyperlink"/>
    <w:qFormat/>
    <w:uiPriority w:val="0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127">
    <w:name w:val="HTML Code"/>
    <w:basedOn w:val="116"/>
    <w:qFormat/>
    <w:uiPriority w:val="0"/>
    <w:rPr>
      <w:rFonts w:ascii="Courier New" w:hAnsi="Courier New"/>
      <w:sz w:val="20"/>
      <w:szCs w:val="20"/>
    </w:rPr>
  </w:style>
  <w:style w:type="character" w:styleId="128">
    <w:name w:val="HTML Cite"/>
    <w:basedOn w:val="116"/>
    <w:qFormat/>
    <w:uiPriority w:val="0"/>
    <w:rPr>
      <w:i/>
      <w:iCs/>
    </w:rPr>
  </w:style>
  <w:style w:type="character" w:styleId="129">
    <w:name w:val="footnote reference"/>
    <w:basedOn w:val="116"/>
    <w:semiHidden/>
    <w:qFormat/>
    <w:uiPriority w:val="0"/>
    <w:rPr>
      <w:vertAlign w:val="superscript"/>
    </w:rPr>
  </w:style>
  <w:style w:type="character" w:styleId="130">
    <w:name w:val="HTML Keyboard"/>
    <w:basedOn w:val="116"/>
    <w:qFormat/>
    <w:uiPriority w:val="0"/>
    <w:rPr>
      <w:rFonts w:ascii="Courier New" w:hAnsi="Courier New"/>
      <w:sz w:val="20"/>
      <w:szCs w:val="20"/>
    </w:rPr>
  </w:style>
  <w:style w:type="character" w:styleId="131">
    <w:name w:val="HTML Sample"/>
    <w:basedOn w:val="116"/>
    <w:qFormat/>
    <w:uiPriority w:val="0"/>
    <w:rPr>
      <w:rFonts w:ascii="Courier New" w:hAnsi="Courier New"/>
    </w:rPr>
  </w:style>
  <w:style w:type="character" w:customStyle="1" w:styleId="132">
    <w:name w:val="正文文本缩进 Char"/>
    <w:basedOn w:val="116"/>
    <w:link w:val="34"/>
    <w:qFormat/>
    <w:uiPriority w:val="0"/>
    <w:rPr>
      <w:rFonts w:eastAsia="宋体"/>
      <w:color w:val="FF0000"/>
      <w:kern w:val="2"/>
      <w:sz w:val="21"/>
      <w:szCs w:val="24"/>
      <w:lang w:val="en-US" w:eastAsia="zh-CN" w:bidi="ar-SA"/>
    </w:rPr>
  </w:style>
  <w:style w:type="character" w:customStyle="1" w:styleId="133">
    <w:name w:val="正文首行缩进 2 Char"/>
    <w:basedOn w:val="132"/>
    <w:link w:val="70"/>
    <w:qFormat/>
    <w:uiPriority w:val="0"/>
  </w:style>
  <w:style w:type="paragraph" w:customStyle="1" w:styleId="134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135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136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37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38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39">
    <w:name w:val="标准书眉_偶数页"/>
    <w:basedOn w:val="138"/>
    <w:next w:val="1"/>
    <w:qFormat/>
    <w:uiPriority w:val="0"/>
    <w:pPr>
      <w:jc w:val="left"/>
    </w:pPr>
  </w:style>
  <w:style w:type="paragraph" w:customStyle="1" w:styleId="140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41">
    <w:name w:val="前言、引言标题"/>
    <w:next w:val="1"/>
    <w:qFormat/>
    <w:uiPriority w:val="0"/>
    <w:pPr>
      <w:numPr>
        <w:ilvl w:val="0"/>
        <w:numId w:val="14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42">
    <w:name w:val="参考文献、索引标题"/>
    <w:basedOn w:val="141"/>
    <w:next w:val="1"/>
    <w:qFormat/>
    <w:uiPriority w:val="0"/>
    <w:pPr>
      <w:numPr>
        <w:ilvl w:val="0"/>
        <w:numId w:val="0"/>
      </w:numPr>
      <w:spacing w:after="200"/>
    </w:pPr>
    <w:rPr>
      <w:sz w:val="21"/>
    </w:rPr>
  </w:style>
  <w:style w:type="paragraph" w:customStyle="1" w:styleId="14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4">
    <w:name w:val="章标题"/>
    <w:next w:val="143"/>
    <w:qFormat/>
    <w:uiPriority w:val="0"/>
    <w:pPr>
      <w:numPr>
        <w:ilvl w:val="1"/>
        <w:numId w:val="14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5">
    <w:name w:val="一级条标题"/>
    <w:next w:val="143"/>
    <w:link w:val="146"/>
    <w:qFormat/>
    <w:uiPriority w:val="0"/>
    <w:pPr>
      <w:numPr>
        <w:ilvl w:val="2"/>
        <w:numId w:val="14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character" w:customStyle="1" w:styleId="146">
    <w:name w:val="一级条标题 Char1"/>
    <w:basedOn w:val="116"/>
    <w:link w:val="145"/>
    <w:qFormat/>
    <w:uiPriority w:val="0"/>
    <w:rPr>
      <w:rFonts w:ascii="Times New Roman" w:hAnsi="Times New Roman" w:eastAsia="黑体"/>
      <w:sz w:val="21"/>
      <w:lang w:val="en-US" w:eastAsia="zh-CN" w:bidi="ar-SA"/>
    </w:rPr>
  </w:style>
  <w:style w:type="paragraph" w:customStyle="1" w:styleId="147">
    <w:name w:val="二级条标题"/>
    <w:basedOn w:val="145"/>
    <w:next w:val="143"/>
    <w:link w:val="148"/>
    <w:qFormat/>
    <w:uiPriority w:val="0"/>
    <w:pPr>
      <w:numPr>
        <w:ilvl w:val="3"/>
        <w:numId w:val="14"/>
      </w:numPr>
      <w:ind w:left="0"/>
      <w:outlineLvl w:val="3"/>
    </w:pPr>
    <w:rPr>
      <w:rFonts w:ascii="黑体"/>
    </w:rPr>
  </w:style>
  <w:style w:type="character" w:customStyle="1" w:styleId="148">
    <w:name w:val="二级条标题 Char1"/>
    <w:basedOn w:val="146"/>
    <w:link w:val="147"/>
    <w:qFormat/>
    <w:uiPriority w:val="0"/>
    <w:rPr>
      <w:rFonts w:ascii="黑体"/>
    </w:rPr>
  </w:style>
  <w:style w:type="character" w:customStyle="1" w:styleId="149">
    <w:name w:val="发布"/>
    <w:basedOn w:val="116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150">
    <w:name w:val="发布部门"/>
    <w:next w:val="143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151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52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53">
    <w:name w:val="封面标准号2"/>
    <w:basedOn w:val="152"/>
    <w:qFormat/>
    <w:uiPriority w:val="0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154">
    <w:name w:val="封面标准代替信息"/>
    <w:basedOn w:val="153"/>
    <w:qFormat/>
    <w:uiPriority w:val="0"/>
    <w:pPr>
      <w:spacing w:before="57"/>
    </w:pPr>
    <w:rPr>
      <w:rFonts w:ascii="宋体"/>
      <w:sz w:val="21"/>
    </w:rPr>
  </w:style>
  <w:style w:type="paragraph" w:customStyle="1" w:styleId="155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56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7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58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59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160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61">
    <w:name w:val="附录标识"/>
    <w:basedOn w:val="141"/>
    <w:qFormat/>
    <w:uiPriority w:val="0"/>
    <w:pPr>
      <w:numPr>
        <w:ilvl w:val="0"/>
        <w:numId w:val="15"/>
      </w:numPr>
      <w:tabs>
        <w:tab w:val="left" w:pos="6405"/>
      </w:tabs>
      <w:spacing w:after="200"/>
    </w:pPr>
    <w:rPr>
      <w:sz w:val="21"/>
    </w:rPr>
  </w:style>
  <w:style w:type="paragraph" w:customStyle="1" w:styleId="162">
    <w:name w:val="附录表标题"/>
    <w:next w:val="143"/>
    <w:qFormat/>
    <w:uiPriority w:val="0"/>
    <w:pPr>
      <w:numPr>
        <w:ilvl w:val="0"/>
        <w:numId w:val="16"/>
      </w:num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63">
    <w:name w:val="附录章标题"/>
    <w:next w:val="143"/>
    <w:qFormat/>
    <w:uiPriority w:val="0"/>
    <w:pPr>
      <w:numPr>
        <w:ilvl w:val="1"/>
        <w:numId w:val="15"/>
      </w:numPr>
      <w:wordWrap w:val="0"/>
      <w:overflowPunct w:val="0"/>
      <w:autoSpaceDE w:val="0"/>
      <w:spacing w:before="50" w:beforeLines="50" w:after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64">
    <w:name w:val="附录一级条标题"/>
    <w:basedOn w:val="163"/>
    <w:next w:val="143"/>
    <w:qFormat/>
    <w:uiPriority w:val="0"/>
    <w:pPr>
      <w:numPr>
        <w:ilvl w:val="2"/>
        <w:numId w:val="15"/>
      </w:numPr>
      <w:autoSpaceDN w:val="0"/>
      <w:spacing w:before="0" w:beforeLines="0" w:after="0" w:afterLines="0"/>
      <w:outlineLvl w:val="2"/>
    </w:pPr>
  </w:style>
  <w:style w:type="paragraph" w:customStyle="1" w:styleId="165">
    <w:name w:val="附录二级条标题"/>
    <w:basedOn w:val="164"/>
    <w:next w:val="143"/>
    <w:qFormat/>
    <w:uiPriority w:val="0"/>
    <w:pPr>
      <w:numPr>
        <w:ilvl w:val="3"/>
        <w:numId w:val="15"/>
      </w:numPr>
      <w:outlineLvl w:val="3"/>
    </w:pPr>
  </w:style>
  <w:style w:type="paragraph" w:customStyle="1" w:styleId="166">
    <w:name w:val="附录三级条标题"/>
    <w:basedOn w:val="165"/>
    <w:next w:val="143"/>
    <w:qFormat/>
    <w:uiPriority w:val="0"/>
    <w:pPr>
      <w:numPr>
        <w:ilvl w:val="4"/>
        <w:numId w:val="15"/>
      </w:numPr>
      <w:outlineLvl w:val="4"/>
    </w:pPr>
  </w:style>
  <w:style w:type="paragraph" w:customStyle="1" w:styleId="167">
    <w:name w:val="附录四级条标题"/>
    <w:basedOn w:val="166"/>
    <w:next w:val="143"/>
    <w:qFormat/>
    <w:uiPriority w:val="0"/>
    <w:pPr>
      <w:numPr>
        <w:ilvl w:val="5"/>
        <w:numId w:val="15"/>
      </w:numPr>
      <w:outlineLvl w:val="5"/>
    </w:pPr>
  </w:style>
  <w:style w:type="paragraph" w:customStyle="1" w:styleId="168">
    <w:name w:val="附录图标题"/>
    <w:next w:val="143"/>
    <w:qFormat/>
    <w:uiPriority w:val="0"/>
    <w:pPr>
      <w:numPr>
        <w:ilvl w:val="0"/>
        <w:numId w:val="17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69">
    <w:name w:val="附录五级条标题"/>
    <w:basedOn w:val="167"/>
    <w:next w:val="143"/>
    <w:qFormat/>
    <w:uiPriority w:val="0"/>
    <w:pPr>
      <w:numPr>
        <w:ilvl w:val="6"/>
        <w:numId w:val="15"/>
      </w:numPr>
      <w:outlineLvl w:val="6"/>
    </w:pPr>
  </w:style>
  <w:style w:type="character" w:customStyle="1" w:styleId="170">
    <w:name w:val="个人答复风格"/>
    <w:basedOn w:val="116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171">
    <w:name w:val="个人撰写风格"/>
    <w:basedOn w:val="116"/>
    <w:qFormat/>
    <w:uiPriority w:val="0"/>
    <w:rPr>
      <w:rFonts w:ascii="Arial" w:hAnsi="Arial" w:eastAsia="宋体" w:cs="Arial"/>
      <w:color w:val="auto"/>
      <w:sz w:val="20"/>
    </w:rPr>
  </w:style>
  <w:style w:type="paragraph" w:customStyle="1" w:styleId="172">
    <w:name w:val="列项——（一级）"/>
    <w:qFormat/>
    <w:uiPriority w:val="0"/>
    <w:pPr>
      <w:widowControl w:val="0"/>
      <w:numPr>
        <w:ilvl w:val="0"/>
        <w:numId w:val="18"/>
      </w:numPr>
      <w:tabs>
        <w:tab w:val="left" w:pos="854"/>
        <w:tab w:val="clear" w:pos="1140"/>
      </w:tabs>
      <w:ind w:leftChars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3">
    <w:name w:val="列项●（二级）"/>
    <w:qFormat/>
    <w:uiPriority w:val="0"/>
    <w:pPr>
      <w:numPr>
        <w:ilvl w:val="0"/>
        <w:numId w:val="19"/>
      </w:numPr>
      <w:tabs>
        <w:tab w:val="left" w:pos="840"/>
      </w:tabs>
      <w:ind w:left="600" w:leftChars="4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4">
    <w:name w:val="目次、标准名称标题"/>
    <w:basedOn w:val="141"/>
    <w:next w:val="143"/>
    <w:qFormat/>
    <w:uiPriority w:val="0"/>
    <w:pPr>
      <w:spacing w:line="460" w:lineRule="exact"/>
    </w:pPr>
  </w:style>
  <w:style w:type="paragraph" w:customStyle="1" w:styleId="175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6">
    <w:name w:val="其他标准称谓"/>
    <w:next w:val="1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77">
    <w:name w:val="其他发布部门"/>
    <w:basedOn w:val="150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78">
    <w:name w:val="三级条标题"/>
    <w:basedOn w:val="147"/>
    <w:next w:val="143"/>
    <w:qFormat/>
    <w:uiPriority w:val="0"/>
    <w:pPr>
      <w:numPr>
        <w:ilvl w:val="4"/>
        <w:numId w:val="14"/>
      </w:numPr>
      <w:outlineLvl w:val="4"/>
    </w:pPr>
  </w:style>
  <w:style w:type="paragraph" w:customStyle="1" w:styleId="179">
    <w:name w:val="实施日期"/>
    <w:basedOn w:val="151"/>
    <w:qFormat/>
    <w:uiPriority w:val="0"/>
    <w:pPr>
      <w:framePr w:hSpace="0" w:xAlign="right"/>
      <w:jc w:val="right"/>
    </w:pPr>
  </w:style>
  <w:style w:type="paragraph" w:customStyle="1" w:styleId="180">
    <w:name w:val="示例"/>
    <w:next w:val="143"/>
    <w:qFormat/>
    <w:uiPriority w:val="0"/>
    <w:pPr>
      <w:numPr>
        <w:ilvl w:val="0"/>
        <w:numId w:val="20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81">
    <w:name w:val="数字编号列项（二级）"/>
    <w:qFormat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2">
    <w:name w:val="四级条标题"/>
    <w:basedOn w:val="178"/>
    <w:next w:val="143"/>
    <w:qFormat/>
    <w:uiPriority w:val="0"/>
    <w:pPr>
      <w:numPr>
        <w:ilvl w:val="5"/>
        <w:numId w:val="14"/>
      </w:numPr>
      <w:outlineLvl w:val="5"/>
    </w:pPr>
  </w:style>
  <w:style w:type="paragraph" w:customStyle="1" w:styleId="183">
    <w:name w:val="条文脚注"/>
    <w:basedOn w:val="57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84">
    <w:name w:val="图表脚注"/>
    <w:next w:val="143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85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86">
    <w:name w:val="五级条标题"/>
    <w:basedOn w:val="182"/>
    <w:next w:val="143"/>
    <w:qFormat/>
    <w:uiPriority w:val="0"/>
    <w:pPr>
      <w:numPr>
        <w:ilvl w:val="6"/>
        <w:numId w:val="14"/>
      </w:numPr>
      <w:outlineLvl w:val="6"/>
    </w:pPr>
  </w:style>
  <w:style w:type="paragraph" w:customStyle="1" w:styleId="187">
    <w:name w:val="正文表标题"/>
    <w:next w:val="143"/>
    <w:qFormat/>
    <w:uiPriority w:val="0"/>
    <w:pPr>
      <w:numPr>
        <w:ilvl w:val="0"/>
        <w:numId w:val="21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88">
    <w:name w:val="正文图标题"/>
    <w:next w:val="143"/>
    <w:qFormat/>
    <w:uiPriority w:val="0"/>
    <w:pPr>
      <w:numPr>
        <w:ilvl w:val="0"/>
        <w:numId w:val="22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89">
    <w:name w:val="注："/>
    <w:next w:val="143"/>
    <w:link w:val="190"/>
    <w:qFormat/>
    <w:uiPriority w:val="0"/>
    <w:pPr>
      <w:widowControl w:val="0"/>
      <w:numPr>
        <w:ilvl w:val="0"/>
        <w:numId w:val="23"/>
      </w:numPr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character" w:customStyle="1" w:styleId="190">
    <w:name w:val="注： Char"/>
    <w:basedOn w:val="116"/>
    <w:link w:val="189"/>
    <w:qFormat/>
    <w:uiPriority w:val="0"/>
    <w:rPr>
      <w:rFonts w:ascii="宋体"/>
      <w:sz w:val="18"/>
      <w:lang w:val="en-US" w:eastAsia="zh-CN" w:bidi="ar-SA"/>
    </w:rPr>
  </w:style>
  <w:style w:type="paragraph" w:customStyle="1" w:styleId="191">
    <w:name w:val="注×："/>
    <w:qFormat/>
    <w:uiPriority w:val="0"/>
    <w:pPr>
      <w:widowControl w:val="0"/>
      <w:numPr>
        <w:ilvl w:val="1"/>
        <w:numId w:val="18"/>
      </w:numPr>
      <w:tabs>
        <w:tab w:val="left" w:pos="63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92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93">
    <w:name w:val="列项◆（三级）"/>
    <w:qFormat/>
    <w:uiPriority w:val="0"/>
    <w:pPr>
      <w:numPr>
        <w:ilvl w:val="0"/>
        <w:numId w:val="24"/>
      </w:numPr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94">
    <w:name w:val="编号列项（三级）"/>
    <w:qFormat/>
    <w:uiPriority w:val="0"/>
    <w:pPr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95">
    <w:name w:val="样式 二级条标题 + 宋体"/>
    <w:basedOn w:val="147"/>
    <w:link w:val="196"/>
    <w:qFormat/>
    <w:uiPriority w:val="0"/>
    <w:pPr>
      <w:spacing w:line="300" w:lineRule="exact"/>
    </w:pPr>
    <w:rPr>
      <w:rFonts w:ascii="宋体" w:hAnsi="宋体"/>
      <w:color w:val="000000"/>
    </w:rPr>
  </w:style>
  <w:style w:type="character" w:customStyle="1" w:styleId="196">
    <w:name w:val="样式 二级条标题 + 宋体 Char1"/>
    <w:basedOn w:val="148"/>
    <w:link w:val="195"/>
    <w:qFormat/>
    <w:uiPriority w:val="0"/>
    <w:rPr>
      <w:rFonts w:ascii="宋体" w:hAnsi="宋体"/>
      <w:color w:val="000000"/>
    </w:rPr>
  </w:style>
  <w:style w:type="character" w:customStyle="1" w:styleId="197">
    <w:name w:val="一级条标题 Char"/>
    <w:basedOn w:val="116"/>
    <w:qFormat/>
    <w:uiPriority w:val="0"/>
    <w:rPr>
      <w:rFonts w:eastAsia="黑体"/>
      <w:sz w:val="21"/>
      <w:lang w:val="en-US" w:eastAsia="zh-CN" w:bidi="ar-SA"/>
    </w:rPr>
  </w:style>
  <w:style w:type="character" w:customStyle="1" w:styleId="198">
    <w:name w:val="二级条标题 Char"/>
    <w:basedOn w:val="197"/>
    <w:qFormat/>
    <w:uiPriority w:val="0"/>
  </w:style>
  <w:style w:type="character" w:customStyle="1" w:styleId="199">
    <w:name w:val="样式 二级条标题 + 宋体 Char"/>
    <w:basedOn w:val="198"/>
    <w:qFormat/>
    <w:uiPriority w:val="0"/>
    <w:rPr>
      <w:rFonts w:ascii="宋体" w:hAnsi="宋体"/>
    </w:rPr>
  </w:style>
  <w:style w:type="paragraph" w:customStyle="1" w:styleId="200">
    <w:name w:val="样式 章标题 + 段前: 0.5 行 段后: 0.5 行"/>
    <w:basedOn w:val="144"/>
    <w:qFormat/>
    <w:uiPriority w:val="0"/>
    <w:pPr>
      <w:spacing w:before="156" w:after="156"/>
    </w:pPr>
    <w:rPr>
      <w:rFonts w:cs="宋体"/>
    </w:rPr>
  </w:style>
  <w:style w:type="paragraph" w:customStyle="1" w:styleId="201">
    <w:name w:val="样式 段 + 黑体 首行缩进:  2 字符"/>
    <w:basedOn w:val="143"/>
    <w:qFormat/>
    <w:uiPriority w:val="0"/>
    <w:pPr>
      <w:ind w:firstLine="420"/>
    </w:pPr>
    <w:rPr>
      <w:rFonts w:ascii="黑体" w:cs="宋体"/>
    </w:rPr>
  </w:style>
  <w:style w:type="paragraph" w:customStyle="1" w:styleId="202">
    <w:name w:val="样式 三级条标题 + (中文) 黑体"/>
    <w:basedOn w:val="178"/>
    <w:qFormat/>
    <w:uiPriority w:val="0"/>
  </w:style>
  <w:style w:type="character" w:customStyle="1" w:styleId="203">
    <w:name w:val="三级条标题 Char"/>
    <w:basedOn w:val="198"/>
    <w:qFormat/>
    <w:uiPriority w:val="0"/>
  </w:style>
  <w:style w:type="character" w:customStyle="1" w:styleId="204">
    <w:name w:val="样式 三级条标题 + (中文) 黑体 Char"/>
    <w:basedOn w:val="203"/>
    <w:qFormat/>
    <w:uiPriority w:val="0"/>
  </w:style>
  <w:style w:type="paragraph" w:customStyle="1" w:styleId="205">
    <w:name w:val="样式 二级条标题 + 宋体1"/>
    <w:basedOn w:val="147"/>
    <w:qFormat/>
    <w:uiPriority w:val="0"/>
    <w:rPr>
      <w:rFonts w:ascii="宋体" w:hAnsi="宋体"/>
    </w:rPr>
  </w:style>
  <w:style w:type="paragraph" w:customStyle="1" w:styleId="206">
    <w:name w:val="样式 二级条标题 + 宋体 红色"/>
    <w:basedOn w:val="147"/>
    <w:qFormat/>
    <w:uiPriority w:val="0"/>
    <w:rPr>
      <w:rFonts w:ascii="宋体" w:hAnsi="宋体"/>
      <w:szCs w:val="21"/>
    </w:rPr>
  </w:style>
  <w:style w:type="paragraph" w:customStyle="1" w:styleId="207">
    <w:name w:val="样式 二级条标题 + 宋体 红色1"/>
    <w:basedOn w:val="147"/>
    <w:next w:val="206"/>
    <w:qFormat/>
    <w:uiPriority w:val="0"/>
    <w:rPr>
      <w:rFonts w:ascii="宋体" w:hAnsi="宋体" w:eastAsia="宋体"/>
      <w:color w:val="FF0000"/>
    </w:rPr>
  </w:style>
  <w:style w:type="character" w:customStyle="1" w:styleId="208">
    <w:name w:val="正文文本缩进 2 Char"/>
    <w:basedOn w:val="1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09">
    <w:name w:val="样式 二级条标题 + 宋体2"/>
    <w:basedOn w:val="147"/>
    <w:qFormat/>
    <w:uiPriority w:val="0"/>
    <w:rPr>
      <w:rFonts w:ascii="宋体" w:hAnsi="宋体"/>
    </w:rPr>
  </w:style>
  <w:style w:type="character" w:customStyle="1" w:styleId="210">
    <w:name w:val="样式 二级条标题 + 宋体2 Char"/>
    <w:basedOn w:val="198"/>
    <w:qFormat/>
    <w:uiPriority w:val="0"/>
    <w:rPr>
      <w:rFonts w:ascii="宋体" w:hAnsi="宋体"/>
    </w:rPr>
  </w:style>
  <w:style w:type="paragraph" w:customStyle="1" w:styleId="211">
    <w:name w:val="样式 二级条标题 + (中文) 宋体"/>
    <w:basedOn w:val="147"/>
    <w:qFormat/>
    <w:uiPriority w:val="0"/>
  </w:style>
  <w:style w:type="character" w:customStyle="1" w:styleId="212">
    <w:name w:val="样式 二级条标题 + (中文) 宋体 Char"/>
    <w:basedOn w:val="198"/>
    <w:qFormat/>
    <w:uiPriority w:val="0"/>
  </w:style>
  <w:style w:type="paragraph" w:customStyle="1" w:styleId="213">
    <w:name w:val="样式 样式 二级条标题 + 宋体 + Times New Roman 倾斜 自动设置"/>
    <w:basedOn w:val="195"/>
    <w:link w:val="214"/>
    <w:qFormat/>
    <w:uiPriority w:val="0"/>
    <w:rPr>
      <w:rFonts w:ascii="Times New Roman" w:hAnsi="Times New Roman"/>
      <w:i/>
      <w:iCs/>
      <w:color w:val="auto"/>
      <w:kern w:val="2"/>
    </w:rPr>
  </w:style>
  <w:style w:type="character" w:customStyle="1" w:styleId="214">
    <w:name w:val="样式 样式 二级条标题 + 宋体 + Times New Roman 倾斜 自动设置 Char"/>
    <w:basedOn w:val="196"/>
    <w:link w:val="213"/>
    <w:qFormat/>
    <w:uiPriority w:val="0"/>
    <w:rPr>
      <w:i/>
      <w:iCs/>
      <w:kern w:val="2"/>
    </w:rPr>
  </w:style>
  <w:style w:type="paragraph" w:customStyle="1" w:styleId="215">
    <w:name w:val="样式 样式 二级条标题 + 宋体 + Times New Roman 倾斜"/>
    <w:basedOn w:val="195"/>
    <w:link w:val="216"/>
    <w:qFormat/>
    <w:uiPriority w:val="0"/>
    <w:rPr>
      <w:rFonts w:ascii="Times New Roman" w:hAnsi="Times New Roman"/>
      <w:i/>
      <w:iCs/>
      <w:szCs w:val="21"/>
    </w:rPr>
  </w:style>
  <w:style w:type="character" w:customStyle="1" w:styleId="216">
    <w:name w:val="样式 样式 二级条标题 + 宋体 + Times New Roman 倾斜 Char"/>
    <w:basedOn w:val="196"/>
    <w:link w:val="215"/>
    <w:qFormat/>
    <w:uiPriority w:val="0"/>
    <w:rPr>
      <w:i/>
      <w:iCs/>
      <w:szCs w:val="21"/>
    </w:rPr>
  </w:style>
  <w:style w:type="paragraph" w:customStyle="1" w:styleId="217">
    <w:name w:val="样式1"/>
    <w:basedOn w:val="147"/>
    <w:qFormat/>
    <w:uiPriority w:val="0"/>
    <w:pPr>
      <w:numPr>
        <w:ilvl w:val="0"/>
        <w:numId w:val="0"/>
      </w:numPr>
      <w:tabs>
        <w:tab w:val="clear" w:pos="0"/>
      </w:tabs>
      <w:ind w:firstLine="420" w:firstLineChars="200"/>
    </w:pPr>
    <w:rPr>
      <w:szCs w:val="21"/>
    </w:rPr>
  </w:style>
  <w:style w:type="paragraph" w:customStyle="1" w:styleId="218">
    <w:name w:val="样式 样式 二级条标题 + 宋体 + Times New Roman"/>
    <w:basedOn w:val="195"/>
    <w:link w:val="219"/>
    <w:qFormat/>
    <w:uiPriority w:val="0"/>
    <w:rPr>
      <w:rFonts w:ascii="Times New Roman" w:hAnsi="Times New Roman" w:eastAsia="黑体"/>
    </w:rPr>
  </w:style>
  <w:style w:type="character" w:customStyle="1" w:styleId="219">
    <w:name w:val="样式 样式 二级条标题 + 宋体 + Times New Roman Char"/>
    <w:basedOn w:val="196"/>
    <w:link w:val="218"/>
    <w:qFormat/>
    <w:uiPriority w:val="0"/>
  </w:style>
  <w:style w:type="character" w:customStyle="1" w:styleId="220">
    <w:name w:val="样式 样式 二级条标题 + 宋体 Char + (中文) 宋体 黑色"/>
    <w:basedOn w:val="199"/>
    <w:qFormat/>
    <w:uiPriority w:val="0"/>
    <w:rPr>
      <w:color w:val="000000"/>
      <w:kern w:val="0"/>
    </w:rPr>
  </w:style>
  <w:style w:type="character" w:customStyle="1" w:styleId="221">
    <w:name w:val="样式 样式 二级条标题 + 宋体2 Char + (中文) 宋体"/>
    <w:basedOn w:val="210"/>
    <w:qFormat/>
    <w:uiPriority w:val="0"/>
    <w:rPr>
      <w:kern w:val="0"/>
    </w:rPr>
  </w:style>
  <w:style w:type="character" w:customStyle="1" w:styleId="222">
    <w:name w:val="样式 样式 二级条标题 + 宋体 Char + (中文) 宋体"/>
    <w:basedOn w:val="199"/>
    <w:qFormat/>
    <w:uiPriority w:val="0"/>
    <w:rPr>
      <w:kern w:val="0"/>
    </w:rPr>
  </w:style>
  <w:style w:type="paragraph" w:customStyle="1" w:styleId="223">
    <w:name w:val="条文2注"/>
    <w:basedOn w:val="189"/>
    <w:link w:val="224"/>
    <w:qFormat/>
    <w:uiPriority w:val="0"/>
    <w:pPr>
      <w:ind w:left="420"/>
    </w:pPr>
    <w:rPr>
      <w:color w:val="FF0000"/>
    </w:rPr>
  </w:style>
  <w:style w:type="character" w:customStyle="1" w:styleId="224">
    <w:name w:val="条文2注 Char"/>
    <w:basedOn w:val="190"/>
    <w:link w:val="223"/>
    <w:qFormat/>
    <w:uiPriority w:val="0"/>
    <w:rPr>
      <w:color w:val="FF0000"/>
    </w:rPr>
  </w:style>
  <w:style w:type="paragraph" w:customStyle="1" w:styleId="225">
    <w:name w:val="样式2"/>
    <w:basedOn w:val="189"/>
    <w:qFormat/>
    <w:uiPriority w:val="0"/>
    <w:pPr>
      <w:ind w:left="0" w:leftChars="0"/>
    </w:pPr>
  </w:style>
  <w:style w:type="character" w:customStyle="1" w:styleId="226">
    <w:name w:val="标题黑体 小二"/>
    <w:basedOn w:val="116"/>
    <w:qFormat/>
    <w:uiPriority w:val="0"/>
    <w:rPr>
      <w:rFonts w:eastAsia="黑体"/>
      <w:spacing w:val="80"/>
      <w:sz w:val="30"/>
      <w:szCs w:val="30"/>
    </w:rPr>
  </w:style>
  <w:style w:type="paragraph" w:customStyle="1" w:styleId="227">
    <w:name w:val="样式 正文文本 3 + 宋体 小四"/>
    <w:basedOn w:val="30"/>
    <w:qFormat/>
    <w:uiPriority w:val="0"/>
    <w:pPr>
      <w:numPr>
        <w:ilvl w:val="0"/>
        <w:numId w:val="0"/>
      </w:numPr>
      <w:tabs>
        <w:tab w:val="clear" w:pos="30"/>
      </w:tabs>
      <w:spacing w:before="50" w:after="50" w:line="420" w:lineRule="exact"/>
      <w:jc w:val="left"/>
      <w:outlineLvl w:val="1"/>
    </w:pPr>
    <w:rPr>
      <w:spacing w:val="6"/>
    </w:rPr>
  </w:style>
  <w:style w:type="paragraph" w:customStyle="1" w:styleId="228">
    <w:name w:val="二级正文标题"/>
    <w:basedOn w:val="227"/>
    <w:qFormat/>
    <w:uiPriority w:val="0"/>
    <w:rPr>
      <w:rFonts w:cs="宋体"/>
      <w:szCs w:val="20"/>
    </w:rPr>
  </w:style>
  <w:style w:type="paragraph" w:customStyle="1" w:styleId="229">
    <w:name w:val="样式 二级正文标题 + 段前: 0.5 行 段后: 0.5 行"/>
    <w:basedOn w:val="228"/>
    <w:qFormat/>
    <w:uiPriority w:val="0"/>
    <w:pPr>
      <w:jc w:val="center"/>
    </w:pPr>
  </w:style>
  <w:style w:type="paragraph" w:customStyle="1" w:styleId="230">
    <w:name w:val="四级正文"/>
    <w:basedOn w:val="1"/>
    <w:qFormat/>
    <w:uiPriority w:val="0"/>
    <w:pPr>
      <w:spacing w:line="420" w:lineRule="exact"/>
      <w:ind w:left="1260" w:leftChars="360" w:firstLine="200" w:firstLineChars="200"/>
      <w:jc w:val="left"/>
    </w:pPr>
    <w:rPr>
      <w:rFonts w:cs="宋体"/>
      <w:sz w:val="24"/>
      <w:szCs w:val="20"/>
    </w:rPr>
  </w:style>
  <w:style w:type="paragraph" w:customStyle="1" w:styleId="231">
    <w:name w:val="样式 小四 行距: 固定值 21 磅"/>
    <w:basedOn w:val="1"/>
    <w:qFormat/>
    <w:uiPriority w:val="0"/>
    <w:pPr>
      <w:snapToGrid w:val="0"/>
      <w:spacing w:line="420" w:lineRule="exact"/>
      <w:ind w:left="1260" w:leftChars="360" w:hanging="504" w:hangingChars="240"/>
      <w:jc w:val="left"/>
    </w:pPr>
    <w:rPr>
      <w:rFonts w:cs="宋体"/>
      <w:sz w:val="24"/>
      <w:szCs w:val="20"/>
    </w:rPr>
  </w:style>
  <w:style w:type="paragraph" w:customStyle="1" w:styleId="232">
    <w:name w:val="表名"/>
    <w:basedOn w:val="1"/>
    <w:qFormat/>
    <w:uiPriority w:val="0"/>
    <w:pPr>
      <w:spacing w:before="50" w:beforeLines="50" w:after="50" w:afterLines="50"/>
      <w:ind w:left="1260" w:leftChars="360"/>
      <w:jc w:val="center"/>
    </w:pPr>
    <w:rPr>
      <w:rFonts w:eastAsia="黑体"/>
      <w:szCs w:val="21"/>
    </w:rPr>
  </w:style>
  <w:style w:type="paragraph" w:customStyle="1" w:styleId="233">
    <w:name w:val="正文2"/>
    <w:basedOn w:val="1"/>
    <w:qFormat/>
    <w:uiPriority w:val="0"/>
    <w:pPr>
      <w:spacing w:before="100" w:beforeLines="100" w:line="360" w:lineRule="auto"/>
      <w:jc w:val="center"/>
    </w:pPr>
    <w:rPr>
      <w:rFonts w:cs="宋体"/>
      <w:sz w:val="24"/>
      <w:szCs w:val="20"/>
    </w:rPr>
  </w:style>
  <w:style w:type="paragraph" w:customStyle="1" w:styleId="234">
    <w:name w:val="条"/>
    <w:basedOn w:val="61"/>
    <w:qFormat/>
    <w:uiPriority w:val="0"/>
    <w:pPr>
      <w:numPr>
        <w:ilvl w:val="0"/>
        <w:numId w:val="0"/>
      </w:numPr>
      <w:tabs>
        <w:tab w:val="clear" w:pos="1047"/>
      </w:tabs>
      <w:spacing w:after="120" w:line="240" w:lineRule="auto"/>
    </w:pPr>
  </w:style>
  <w:style w:type="paragraph" w:customStyle="1" w:styleId="235">
    <w:name w:val="样式 首行缩进:  2 字符"/>
    <w:basedOn w:val="1"/>
    <w:qFormat/>
    <w:uiPriority w:val="0"/>
    <w:pPr>
      <w:ind w:left="1260" w:leftChars="360" w:hanging="504" w:hangingChars="240"/>
      <w:jc w:val="left"/>
    </w:pPr>
    <w:rPr>
      <w:rFonts w:cs="宋体"/>
      <w:szCs w:val="20"/>
    </w:rPr>
  </w:style>
  <w:style w:type="paragraph" w:customStyle="1" w:styleId="236">
    <w:name w:val="样式 首行缩进:  2 字符1"/>
    <w:basedOn w:val="1"/>
    <w:qFormat/>
    <w:uiPriority w:val="0"/>
    <w:pPr>
      <w:spacing w:line="6000" w:lineRule="auto"/>
      <w:ind w:left="1260" w:leftChars="360" w:hanging="504" w:hangingChars="240"/>
      <w:jc w:val="left"/>
    </w:pPr>
    <w:rPr>
      <w:rFonts w:cs="宋体"/>
      <w:szCs w:val="20"/>
    </w:rPr>
  </w:style>
  <w:style w:type="paragraph" w:customStyle="1" w:styleId="237">
    <w:name w:val="款样式"/>
    <w:basedOn w:val="1"/>
    <w:qFormat/>
    <w:uiPriority w:val="0"/>
    <w:pPr>
      <w:tabs>
        <w:tab w:val="left" w:pos="480"/>
        <w:tab w:val="left" w:pos="720"/>
      </w:tabs>
      <w:spacing w:line="420" w:lineRule="exact"/>
      <w:ind w:left="1260" w:leftChars="360" w:firstLine="360" w:firstLineChars="150"/>
      <w:jc w:val="left"/>
    </w:pPr>
    <w:rPr>
      <w:rFonts w:cs="宋体"/>
      <w:szCs w:val="20"/>
    </w:rPr>
  </w:style>
  <w:style w:type="paragraph" w:customStyle="1" w:styleId="238">
    <w:name w:val="对齐正文"/>
    <w:basedOn w:val="1"/>
    <w:qFormat/>
    <w:uiPriority w:val="0"/>
    <w:pPr>
      <w:tabs>
        <w:tab w:val="left" w:pos="480"/>
      </w:tabs>
      <w:spacing w:line="500" w:lineRule="exact"/>
      <w:ind w:left="1260" w:leftChars="360" w:firstLine="150" w:firstLineChars="150"/>
      <w:jc w:val="left"/>
    </w:pPr>
    <w:rPr>
      <w:rFonts w:cs="宋体"/>
      <w:szCs w:val="20"/>
    </w:rPr>
  </w:style>
  <w:style w:type="paragraph" w:customStyle="1" w:styleId="239">
    <w:name w:val="项样式"/>
    <w:basedOn w:val="1"/>
    <w:link w:val="240"/>
    <w:qFormat/>
    <w:uiPriority w:val="0"/>
    <w:pPr>
      <w:tabs>
        <w:tab w:val="left" w:pos="480"/>
      </w:tabs>
      <w:spacing w:line="420" w:lineRule="exact"/>
      <w:ind w:left="396" w:leftChars="309" w:hanging="87" w:hangingChars="87"/>
    </w:pPr>
    <w:rPr>
      <w:rFonts w:cs="宋体"/>
      <w:szCs w:val="20"/>
    </w:rPr>
  </w:style>
  <w:style w:type="character" w:customStyle="1" w:styleId="240">
    <w:name w:val="项样式 Char"/>
    <w:basedOn w:val="116"/>
    <w:link w:val="239"/>
    <w:qFormat/>
    <w:uiPriority w:val="0"/>
    <w:rPr>
      <w:rFonts w:eastAsia="宋体" w:cs="宋体"/>
      <w:kern w:val="2"/>
      <w:sz w:val="21"/>
      <w:lang w:val="en-US" w:eastAsia="zh-CN" w:bidi="ar-SA"/>
    </w:rPr>
  </w:style>
  <w:style w:type="paragraph" w:customStyle="1" w:styleId="241">
    <w:name w:val="表注"/>
    <w:basedOn w:val="1"/>
    <w:qFormat/>
    <w:uiPriority w:val="0"/>
    <w:pPr>
      <w:ind w:left="-5" w:leftChars="-5" w:firstLine="300" w:firstLineChars="300"/>
      <w:jc w:val="left"/>
    </w:pPr>
    <w:rPr>
      <w:szCs w:val="21"/>
    </w:rPr>
  </w:style>
  <w:style w:type="paragraph" w:customStyle="1" w:styleId="242">
    <w:name w:val="样式 项样式 + 悬挂缩进: 0.87 字符"/>
    <w:basedOn w:val="239"/>
    <w:qFormat/>
    <w:uiPriority w:val="0"/>
  </w:style>
  <w:style w:type="paragraph" w:customStyle="1" w:styleId="243">
    <w:name w:val="注"/>
    <w:basedOn w:val="1"/>
    <w:qFormat/>
    <w:uiPriority w:val="0"/>
    <w:pPr>
      <w:spacing w:line="420" w:lineRule="exact"/>
      <w:ind w:left="1260" w:leftChars="360" w:firstLine="250" w:firstLineChars="250"/>
      <w:jc w:val="left"/>
    </w:pPr>
    <w:rPr>
      <w:szCs w:val="21"/>
    </w:rPr>
  </w:style>
  <w:style w:type="paragraph" w:customStyle="1" w:styleId="244">
    <w:name w:val="注式样"/>
    <w:basedOn w:val="1"/>
    <w:qFormat/>
    <w:uiPriority w:val="0"/>
    <w:pPr>
      <w:ind w:left="375" w:leftChars="375"/>
      <w:jc w:val="left"/>
    </w:pPr>
    <w:rPr>
      <w:rFonts w:cs="宋体"/>
      <w:szCs w:val="20"/>
    </w:rPr>
  </w:style>
  <w:style w:type="paragraph" w:customStyle="1" w:styleId="245">
    <w:name w:val="注2式样"/>
    <w:basedOn w:val="1"/>
    <w:qFormat/>
    <w:uiPriority w:val="0"/>
    <w:pPr>
      <w:ind w:left="375" w:leftChars="375" w:hanging="504" w:hangingChars="240"/>
      <w:jc w:val="left"/>
    </w:pPr>
    <w:rPr>
      <w:rFonts w:ascii="宋体" w:hAnsi="宋体" w:cs="宋体"/>
      <w:szCs w:val="20"/>
    </w:rPr>
  </w:style>
  <w:style w:type="paragraph" w:customStyle="1" w:styleId="246">
    <w:name w:val="注式样（双位序号）"/>
    <w:basedOn w:val="239"/>
    <w:qFormat/>
    <w:uiPriority w:val="0"/>
    <w:pPr>
      <w:ind w:left="991" w:leftChars="255" w:hanging="379" w:hangingChars="158"/>
    </w:pPr>
  </w:style>
  <w:style w:type="paragraph" w:customStyle="1" w:styleId="247">
    <w:name w:val="2级项"/>
    <w:basedOn w:val="239"/>
    <w:qFormat/>
    <w:uiPriority w:val="0"/>
    <w:pPr>
      <w:ind w:left="450" w:leftChars="300" w:hanging="150" w:hangingChars="150"/>
    </w:pPr>
    <w:rPr>
      <w:szCs w:val="24"/>
    </w:rPr>
  </w:style>
  <w:style w:type="paragraph" w:customStyle="1" w:styleId="248">
    <w:name w:val="表格"/>
    <w:basedOn w:val="1"/>
    <w:qFormat/>
    <w:uiPriority w:val="0"/>
    <w:pPr>
      <w:spacing w:line="300" w:lineRule="exact"/>
      <w:ind w:left="1260" w:leftChars="360"/>
      <w:jc w:val="center"/>
    </w:pPr>
    <w:rPr>
      <w:szCs w:val="21"/>
    </w:rPr>
  </w:style>
  <w:style w:type="paragraph" w:customStyle="1" w:styleId="249">
    <w:name w:val="表格靠左对齐"/>
    <w:basedOn w:val="248"/>
    <w:qFormat/>
    <w:uiPriority w:val="0"/>
    <w:pPr>
      <w:jc w:val="left"/>
    </w:pPr>
  </w:style>
  <w:style w:type="character" w:customStyle="1" w:styleId="250">
    <w:name w:val="各级正文 Char Char"/>
    <w:basedOn w:val="116"/>
    <w:link w:val="251"/>
    <w:qFormat/>
    <w:uiPriority w:val="0"/>
    <w:rPr>
      <w:rFonts w:eastAsia="宋体" w:cs="宋体"/>
      <w:kern w:val="2"/>
      <w:sz w:val="24"/>
      <w:lang w:val="en-US" w:eastAsia="zh-CN" w:bidi="ar-SA"/>
    </w:rPr>
  </w:style>
  <w:style w:type="paragraph" w:customStyle="1" w:styleId="251">
    <w:name w:val="各级正文"/>
    <w:basedOn w:val="1"/>
    <w:link w:val="250"/>
    <w:qFormat/>
    <w:uiPriority w:val="0"/>
    <w:pPr>
      <w:tabs>
        <w:tab w:val="left" w:pos="480"/>
        <w:tab w:val="left" w:pos="750"/>
      </w:tabs>
      <w:spacing w:line="420" w:lineRule="exact"/>
      <w:ind w:left="1440" w:leftChars="600" w:firstLine="150" w:firstLineChars="150"/>
    </w:pPr>
    <w:rPr>
      <w:rFonts w:cs="宋体"/>
      <w:sz w:val="24"/>
      <w:szCs w:val="20"/>
    </w:rPr>
  </w:style>
  <w:style w:type="paragraph" w:customStyle="1" w:styleId="252">
    <w:name w:val="条文说明款样式"/>
    <w:basedOn w:val="1"/>
    <w:link w:val="253"/>
    <w:qFormat/>
    <w:uiPriority w:val="0"/>
    <w:pPr>
      <w:tabs>
        <w:tab w:val="left" w:pos="480"/>
        <w:tab w:val="left" w:pos="720"/>
        <w:tab w:val="left" w:pos="750"/>
        <w:tab w:val="left" w:pos="3450"/>
      </w:tabs>
      <w:spacing w:line="420" w:lineRule="exact"/>
      <w:ind w:left="1260" w:leftChars="360" w:firstLine="447" w:firstLineChars="213"/>
      <w:jc w:val="left"/>
    </w:pPr>
    <w:rPr>
      <w:rFonts w:ascii="宋体" w:hAnsi="宋体" w:cs="宋体"/>
      <w:kern w:val="0"/>
      <w:szCs w:val="20"/>
    </w:rPr>
  </w:style>
  <w:style w:type="character" w:customStyle="1" w:styleId="253">
    <w:name w:val="条文说明款样式 Char Char"/>
    <w:basedOn w:val="116"/>
    <w:link w:val="252"/>
    <w:qFormat/>
    <w:uiPriority w:val="0"/>
    <w:rPr>
      <w:rFonts w:ascii="宋体" w:hAnsi="宋体" w:eastAsia="宋体" w:cs="宋体"/>
      <w:sz w:val="21"/>
      <w:lang w:val="en-US" w:eastAsia="zh-CN" w:bidi="ar-SA"/>
    </w:rPr>
  </w:style>
  <w:style w:type="paragraph" w:customStyle="1" w:styleId="254">
    <w:name w:val="样式 表注 + 悬挂缩进: 0.99 字符"/>
    <w:basedOn w:val="241"/>
    <w:qFormat/>
    <w:uiPriority w:val="0"/>
    <w:pPr>
      <w:tabs>
        <w:tab w:val="left" w:pos="750"/>
      </w:tabs>
      <w:ind w:left="1077" w:leftChars="362" w:hanging="208" w:hangingChars="99"/>
    </w:pPr>
    <w:rPr>
      <w:rFonts w:ascii="宋体" w:hAnsi="宋体" w:cs="宋体"/>
      <w:kern w:val="0"/>
      <w:szCs w:val="20"/>
    </w:rPr>
  </w:style>
  <w:style w:type="paragraph" w:customStyle="1" w:styleId="255">
    <w:name w:val="节分部"/>
    <w:basedOn w:val="1"/>
    <w:qFormat/>
    <w:uiPriority w:val="0"/>
    <w:pPr>
      <w:tabs>
        <w:tab w:val="left" w:pos="750"/>
      </w:tabs>
      <w:spacing w:line="420" w:lineRule="exact"/>
      <w:ind w:left="1260" w:leftChars="360" w:firstLine="420" w:firstLineChars="391"/>
      <w:jc w:val="center"/>
    </w:pPr>
    <w:rPr>
      <w:rFonts w:ascii="黑体" w:hAnsi="宋体" w:eastAsia="黑体"/>
      <w:kern w:val="0"/>
      <w:szCs w:val="28"/>
    </w:rPr>
  </w:style>
  <w:style w:type="paragraph" w:customStyle="1" w:styleId="256">
    <w:name w:val="样式 正文2 + 段前: 1 行"/>
    <w:basedOn w:val="233"/>
    <w:qFormat/>
    <w:uiPriority w:val="0"/>
    <w:pPr>
      <w:spacing w:before="0" w:beforeLines="0"/>
    </w:pPr>
    <w:rPr>
      <w:sz w:val="36"/>
      <w:szCs w:val="36"/>
    </w:rPr>
  </w:style>
  <w:style w:type="paragraph" w:customStyle="1" w:styleId="257">
    <w:name w:val="条文说明标题1"/>
    <w:basedOn w:val="3"/>
    <w:qFormat/>
    <w:uiPriority w:val="0"/>
    <w:pPr>
      <w:numPr>
        <w:ilvl w:val="1"/>
        <w:numId w:val="25"/>
      </w:numPr>
      <w:tabs>
        <w:tab w:val="left" w:pos="750"/>
      </w:tabs>
      <w:spacing w:before="93" w:beforeLines="30" w:after="93" w:afterLines="30" w:line="240" w:lineRule="auto"/>
      <w:jc w:val="center"/>
    </w:pPr>
    <w:rPr>
      <w:rFonts w:ascii="黑体" w:hAnsi="黑体" w:eastAsia="黑体"/>
      <w:b w:val="0"/>
      <w:bCs w:val="0"/>
      <w:sz w:val="21"/>
      <w:szCs w:val="32"/>
    </w:rPr>
  </w:style>
  <w:style w:type="paragraph" w:customStyle="1" w:styleId="258">
    <w:name w:val="条文说明正文"/>
    <w:basedOn w:val="251"/>
    <w:link w:val="259"/>
    <w:qFormat/>
    <w:uiPriority w:val="0"/>
    <w:pPr>
      <w:ind w:left="0" w:leftChars="0" w:firstLine="0" w:firstLineChars="0"/>
    </w:pPr>
    <w:rPr>
      <w:sz w:val="21"/>
      <w:szCs w:val="21"/>
    </w:rPr>
  </w:style>
  <w:style w:type="character" w:customStyle="1" w:styleId="259">
    <w:name w:val="条文说明正文 Char"/>
    <w:basedOn w:val="250"/>
    <w:link w:val="258"/>
    <w:qFormat/>
    <w:uiPriority w:val="0"/>
    <w:rPr>
      <w:sz w:val="21"/>
      <w:szCs w:val="21"/>
    </w:rPr>
  </w:style>
  <w:style w:type="paragraph" w:customStyle="1" w:styleId="260">
    <w:name w:val="条文说明正文段落"/>
    <w:basedOn w:val="258"/>
    <w:qFormat/>
    <w:uiPriority w:val="0"/>
    <w:pPr>
      <w:spacing w:line="240" w:lineRule="auto"/>
      <w:ind w:firstLine="449" w:firstLineChars="214"/>
      <w:jc w:val="left"/>
    </w:pPr>
    <w:rPr>
      <w:rFonts w:cs="Times New Roman"/>
    </w:rPr>
  </w:style>
  <w:style w:type="paragraph" w:customStyle="1" w:styleId="261">
    <w:name w:val="样式 条文说明正文 + 首行缩进:  0 字符"/>
    <w:basedOn w:val="258"/>
    <w:qFormat/>
    <w:uiPriority w:val="0"/>
    <w:pPr>
      <w:jc w:val="left"/>
    </w:pPr>
    <w:rPr>
      <w:szCs w:val="20"/>
    </w:rPr>
  </w:style>
  <w:style w:type="paragraph" w:customStyle="1" w:styleId="262">
    <w:name w:val="样式 样式 段 + 黑体 首行缩进:  2 字符 + 首行缩进:  0 字符"/>
    <w:basedOn w:val="201"/>
    <w:qFormat/>
    <w:uiPriority w:val="0"/>
    <w:pPr>
      <w:ind w:firstLine="0" w:firstLineChars="0"/>
    </w:pPr>
    <w:rPr>
      <w:rFonts w:ascii="Times New Roman"/>
      <w:szCs w:val="21"/>
    </w:rPr>
  </w:style>
  <w:style w:type="paragraph" w:customStyle="1" w:styleId="263">
    <w:name w:val="样式 条文说明正文 + 宋体"/>
    <w:basedOn w:val="258"/>
    <w:link w:val="264"/>
    <w:qFormat/>
    <w:uiPriority w:val="0"/>
    <w:pPr>
      <w:ind w:firstLine="420"/>
    </w:pPr>
  </w:style>
  <w:style w:type="character" w:customStyle="1" w:styleId="264">
    <w:name w:val="样式 条文说明正文 + 宋体 Char"/>
    <w:basedOn w:val="259"/>
    <w:link w:val="263"/>
    <w:qFormat/>
    <w:uiPriority w:val="0"/>
  </w:style>
  <w:style w:type="paragraph" w:customStyle="1" w:styleId="265">
    <w:name w:val="aaa"/>
    <w:basedOn w:val="1"/>
    <w:qFormat/>
    <w:uiPriority w:val="0"/>
    <w:pPr>
      <w:ind w:left="1260" w:leftChars="600" w:firstLine="2415" w:firstLineChars="1150"/>
      <w:jc w:val="left"/>
    </w:pPr>
    <w:rPr>
      <w:szCs w:val="21"/>
    </w:rPr>
  </w:style>
  <w:style w:type="paragraph" w:customStyle="1" w:styleId="266">
    <w:name w:val="样式 段 + (符号) 宋体 小五 居中 底端: (单实线 自动设置  0.75 磅 行宽)"/>
    <w:basedOn w:val="143"/>
    <w:qFormat/>
    <w:uiPriority w:val="0"/>
    <w:pPr>
      <w:ind w:firstLine="0" w:firstLineChars="0"/>
      <w:jc w:val="center"/>
    </w:pPr>
    <w:rPr>
      <w:rFonts w:hAnsi="宋体" w:cs="宋体"/>
      <w:kern w:val="2"/>
      <w:sz w:val="18"/>
    </w:rPr>
  </w:style>
  <w:style w:type="paragraph" w:styleId="267">
    <w:name w:val="List Paragraph"/>
    <w:basedOn w:val="1"/>
    <w:qFormat/>
    <w:uiPriority w:val="1"/>
    <w:pPr>
      <w:spacing w:before="2"/>
      <w:ind w:left="1093" w:hanging="736"/>
    </w:pPr>
    <w:rPr>
      <w:rFonts w:ascii="宋体" w:hAnsi="宋体" w:eastAsia="宋体" w:cs="宋体"/>
      <w:lang w:val="ca-ES" w:eastAsia="ca-ES" w:bidi="ca-ES"/>
    </w:rPr>
  </w:style>
  <w:style w:type="paragraph" w:customStyle="1" w:styleId="268">
    <w:name w:val="其他实施日期"/>
    <w:basedOn w:val="179"/>
    <w:qFormat/>
    <w:uiPriority w:val="0"/>
    <w:pPr>
      <w:framePr w:wrap="around"/>
    </w:pPr>
  </w:style>
  <w:style w:type="paragraph" w:customStyle="1" w:styleId="26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0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271">
    <w:name w:val="标准文件_页眉偶数页"/>
    <w:basedOn w:val="270"/>
    <w:next w:val="1"/>
    <w:qFormat/>
    <w:uiPriority w:val="0"/>
    <w:pPr>
      <w:jc w:val="left"/>
    </w:pPr>
  </w:style>
  <w:style w:type="paragraph" w:customStyle="1" w:styleId="272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73">
    <w:name w:val="标准文件_页脚偶数页"/>
    <w:qFormat/>
    <w:uiPriority w:val="0"/>
    <w:pPr>
      <w:ind w:left="227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74">
    <w:name w:val="标准文件_二级条标题"/>
    <w:next w:val="269"/>
    <w:qFormat/>
    <w:uiPriority w:val="0"/>
    <w:pPr>
      <w:widowControl w:val="0"/>
      <w:numPr>
        <w:ilvl w:val="3"/>
        <w:numId w:val="26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75">
    <w:name w:val="标准文件_正文公式"/>
    <w:basedOn w:val="1"/>
    <w:next w:val="276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276">
    <w:name w:val="标准文件_标准正文"/>
    <w:basedOn w:val="1"/>
    <w:next w:val="269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277">
    <w:name w:val="标准文件_一级条标题"/>
    <w:basedOn w:val="278"/>
    <w:next w:val="269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278">
    <w:name w:val="标准文件_章标题"/>
    <w:next w:val="269"/>
    <w:qFormat/>
    <w:uiPriority w:val="0"/>
    <w:pPr>
      <w:numPr>
        <w:ilvl w:val="1"/>
        <w:numId w:val="26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79">
    <w:name w:val="标准文件_三级无标题"/>
    <w:basedOn w:val="280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80">
    <w:name w:val="标准文件_三级条标题"/>
    <w:basedOn w:val="274"/>
    <w:next w:val="269"/>
    <w:qFormat/>
    <w:uiPriority w:val="0"/>
    <w:pPr>
      <w:widowControl/>
      <w:numPr>
        <w:ilvl w:val="4"/>
      </w:numPr>
      <w:outlineLvl w:val="3"/>
    </w:pPr>
  </w:style>
  <w:style w:type="paragraph" w:customStyle="1" w:styleId="281">
    <w:name w:val="标准文件_正文表标题"/>
    <w:next w:val="269"/>
    <w:qFormat/>
    <w:uiPriority w:val="0"/>
    <w:pPr>
      <w:numPr>
        <w:ilvl w:val="0"/>
        <w:numId w:val="21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table" w:customStyle="1" w:styleId="282">
    <w:name w:val="网格型1"/>
    <w:basedOn w:val="71"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网格型2"/>
    <w:basedOn w:val="71"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4">
    <w:name w:val="标准表题"/>
    <w:basedOn w:val="1"/>
    <w:next w:val="143"/>
    <w:qFormat/>
    <w:uiPriority w:val="0"/>
    <w:pPr>
      <w:widowControl/>
      <w:jc w:val="center"/>
    </w:pPr>
    <w:rPr>
      <w:rFonts w:ascii="黑体" w:eastAsia="黑体"/>
      <w:kern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5.jpeg"/><Relationship Id="rId2" Type="http://schemas.openxmlformats.org/officeDocument/2006/relationships/settings" Target="settings.xml"/><Relationship Id="rId19" Type="http://schemas.openxmlformats.org/officeDocument/2006/relationships/image" Target="media/image4.jpeg"/><Relationship Id="rId18" Type="http://schemas.openxmlformats.org/officeDocument/2006/relationships/image" Target="media/image3.png"/><Relationship Id="rId17" Type="http://schemas.openxmlformats.org/officeDocument/2006/relationships/image" Target="media/image2.wmf"/><Relationship Id="rId16" Type="http://schemas.openxmlformats.org/officeDocument/2006/relationships/oleObject" Target="embeddings/oleObject2.bin"/><Relationship Id="rId15" Type="http://schemas.openxmlformats.org/officeDocument/2006/relationships/image" Target="media/image1.emf"/><Relationship Id="rId14" Type="http://schemas.openxmlformats.org/officeDocument/2006/relationships/oleObject" Target="embeddings/oleObject1.bin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ds2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tds2</Template>
  <Company>CNIS</Company>
  <Pages>11</Pages>
  <Words>4317</Words>
  <Characters>5151</Characters>
  <Lines>148</Lines>
  <Paragraphs>41</Paragraphs>
  <TotalTime>1</TotalTime>
  <ScaleCrop>false</ScaleCrop>
  <LinksUpToDate>false</LinksUpToDate>
  <CharactersWithSpaces>5282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2010-02-04T00:38:00Z</dcterms:created>
  <dc:creator>dell</dc:creator>
  <cp:lastModifiedBy>张鹏</cp:lastModifiedBy>
  <cp:lastPrinted>2022-01-16T11:09:00Z</cp:lastPrinted>
  <dcterms:modified xsi:type="dcterms:W3CDTF">2023-02-01T07:06:36Z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S属性">
    <vt:lpwstr>TDS 2.0 Document</vt:lpwstr>
  </property>
  <property fmtid="{D5CDD505-2E9C-101B-9397-08002B2CF9AE}" pid="3" name="KSOProductBuildVer">
    <vt:lpwstr>2052-11.1.0.13703</vt:lpwstr>
  </property>
  <property fmtid="{D5CDD505-2E9C-101B-9397-08002B2CF9AE}" pid="4" name="ICV">
    <vt:lpwstr>10BE79E37E424CBAB5B9A25B88C2BA41</vt:lpwstr>
  </property>
</Properties>
</file>